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01"/>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8505"/>
      </w:tblGrid>
      <w:tr w:rsidR="007043D3" w:rsidRPr="00583780" w14:paraId="71D0ACB8" w14:textId="77777777" w:rsidTr="007043D3">
        <w:trPr>
          <w:trHeight w:val="144"/>
        </w:trPr>
        <w:tc>
          <w:tcPr>
            <w:tcW w:w="14992" w:type="dxa"/>
            <w:gridSpan w:val="2"/>
            <w:tcBorders>
              <w:top w:val="nil"/>
              <w:left w:val="nil"/>
              <w:bottom w:val="single" w:sz="4" w:space="0" w:color="auto"/>
              <w:right w:val="nil"/>
            </w:tcBorders>
            <w:shd w:val="clear" w:color="auto" w:fill="auto"/>
          </w:tcPr>
          <w:p w14:paraId="7432EE82" w14:textId="1E6ED6CD" w:rsidR="007043D3" w:rsidRPr="00FC0736" w:rsidRDefault="006B6969" w:rsidP="006B6969">
            <w:pPr>
              <w:pStyle w:val="ShapkaDocumentu"/>
              <w:keepNext w:val="0"/>
              <w:keepLines w:val="0"/>
              <w:widowControl w:val="0"/>
              <w:spacing w:line="228" w:lineRule="auto"/>
              <w:ind w:left="2835"/>
              <w:rPr>
                <w:rStyle w:val="rvts82"/>
                <w:rFonts w:ascii="Times New Roman" w:hAnsi="Times New Roman"/>
                <w:b/>
                <w:sz w:val="32"/>
                <w:szCs w:val="32"/>
              </w:rPr>
            </w:pPr>
            <w:r>
              <w:rPr>
                <w:rStyle w:val="rvts82"/>
                <w:rFonts w:ascii="Times New Roman" w:hAnsi="Times New Roman"/>
                <w:b/>
                <w:sz w:val="32"/>
                <w:szCs w:val="32"/>
              </w:rPr>
              <w:t xml:space="preserve">Кафедра </w:t>
            </w:r>
            <w:r w:rsidR="00D828FE" w:rsidRPr="00D828FE">
              <w:rPr>
                <w:rStyle w:val="rvts82"/>
                <w:rFonts w:ascii="Times New Roman" w:hAnsi="Times New Roman"/>
                <w:b/>
                <w:sz w:val="32"/>
                <w:szCs w:val="32"/>
                <w:u w:val="single"/>
              </w:rPr>
              <w:t>Будівельних технологій</w:t>
            </w:r>
          </w:p>
          <w:p w14:paraId="60F4F925" w14:textId="52AB951B" w:rsidR="00FC0736" w:rsidRPr="00616268" w:rsidRDefault="00FC0736" w:rsidP="009A19FC">
            <w:pPr>
              <w:pStyle w:val="ShapkaDocumentu"/>
              <w:keepNext w:val="0"/>
              <w:keepLines w:val="0"/>
              <w:widowControl w:val="0"/>
              <w:spacing w:line="228" w:lineRule="auto"/>
              <w:ind w:left="2835"/>
              <w:rPr>
                <w:rStyle w:val="rvts82"/>
                <w:rFonts w:ascii="Times New Roman" w:hAnsi="Times New Roman"/>
                <w:b/>
                <w:sz w:val="32"/>
                <w:szCs w:val="32"/>
                <w:u w:val="single"/>
                <w:lang w:val="ru-RU"/>
              </w:rPr>
            </w:pPr>
            <w:r w:rsidRPr="00FC0736">
              <w:rPr>
                <w:rStyle w:val="rvts82"/>
                <w:rFonts w:ascii="Times New Roman" w:hAnsi="Times New Roman"/>
                <w:b/>
                <w:sz w:val="32"/>
                <w:szCs w:val="32"/>
              </w:rPr>
              <w:t>ПІБ викладача</w:t>
            </w:r>
            <w:r w:rsidR="006B6969" w:rsidRPr="006B6969">
              <w:rPr>
                <w:rStyle w:val="rvts82"/>
                <w:rFonts w:ascii="Times New Roman" w:hAnsi="Times New Roman"/>
                <w:b/>
                <w:sz w:val="32"/>
                <w:szCs w:val="32"/>
                <w:lang w:val="ru-RU"/>
              </w:rPr>
              <w:t xml:space="preserve"> </w:t>
            </w:r>
            <w:r w:rsidR="00616268" w:rsidRPr="00616268">
              <w:rPr>
                <w:rStyle w:val="rvts82"/>
                <w:rFonts w:ascii="Times New Roman" w:hAnsi="Times New Roman"/>
                <w:b/>
                <w:sz w:val="32"/>
                <w:szCs w:val="32"/>
                <w:u w:val="single"/>
              </w:rPr>
              <w:t>Шандра О.Г.</w:t>
            </w:r>
          </w:p>
          <w:p w14:paraId="3106ED77" w14:textId="77777777" w:rsidR="00E77D30" w:rsidRPr="007E3D91" w:rsidRDefault="00E77D30" w:rsidP="00096CCF">
            <w:pPr>
              <w:pStyle w:val="ShapkaDocumentu"/>
              <w:keepNext w:val="0"/>
              <w:keepLines w:val="0"/>
              <w:widowControl w:val="0"/>
              <w:spacing w:line="228" w:lineRule="auto"/>
              <w:ind w:left="2835"/>
              <w:rPr>
                <w:rStyle w:val="rvts82"/>
                <w:rFonts w:ascii="Times New Roman" w:hAnsi="Times New Roman"/>
                <w:sz w:val="22"/>
                <w:szCs w:val="22"/>
                <w:lang w:val="ru-RU"/>
              </w:rPr>
            </w:pPr>
            <w:r>
              <w:rPr>
                <w:rStyle w:val="rvts82"/>
                <w:rFonts w:ascii="Times New Roman" w:hAnsi="Times New Roman"/>
                <w:b/>
                <w:sz w:val="32"/>
                <w:szCs w:val="32"/>
              </w:rPr>
              <w:t xml:space="preserve">Посада </w:t>
            </w:r>
            <w:r w:rsidR="00B04CCA">
              <w:rPr>
                <w:rStyle w:val="rvts82"/>
                <w:rFonts w:ascii="Times New Roman" w:hAnsi="Times New Roman"/>
                <w:b/>
                <w:sz w:val="32"/>
                <w:szCs w:val="32"/>
              </w:rPr>
              <w:t>старшого викладача</w:t>
            </w:r>
            <w:r>
              <w:rPr>
                <w:rStyle w:val="rvts82"/>
                <w:rFonts w:ascii="Times New Roman" w:hAnsi="Times New Roman"/>
                <w:b/>
                <w:sz w:val="32"/>
                <w:szCs w:val="32"/>
              </w:rPr>
              <w:t xml:space="preserve"> </w:t>
            </w:r>
            <w:r w:rsidR="00616268">
              <w:rPr>
                <w:rStyle w:val="rvts82"/>
                <w:rFonts w:ascii="Times New Roman" w:hAnsi="Times New Roman"/>
                <w:b/>
                <w:sz w:val="32"/>
                <w:szCs w:val="32"/>
              </w:rPr>
              <w:t>1</w:t>
            </w:r>
            <w:r>
              <w:rPr>
                <w:rStyle w:val="rvts82"/>
                <w:rFonts w:ascii="Times New Roman" w:hAnsi="Times New Roman"/>
                <w:b/>
                <w:sz w:val="32"/>
                <w:szCs w:val="32"/>
              </w:rPr>
              <w:t>,</w:t>
            </w:r>
            <w:r w:rsidR="00616268">
              <w:rPr>
                <w:rStyle w:val="rvts82"/>
                <w:rFonts w:ascii="Times New Roman" w:hAnsi="Times New Roman"/>
                <w:b/>
                <w:sz w:val="32"/>
                <w:szCs w:val="32"/>
              </w:rPr>
              <w:t>0</w:t>
            </w:r>
            <w:r w:rsidR="00653BC1">
              <w:rPr>
                <w:rStyle w:val="rvts82"/>
                <w:rFonts w:ascii="Times New Roman" w:hAnsi="Times New Roman"/>
                <w:b/>
                <w:sz w:val="32"/>
                <w:szCs w:val="32"/>
              </w:rPr>
              <w:t xml:space="preserve"> ставка, працюю в КНУБА з 2022</w:t>
            </w:r>
            <w:r>
              <w:rPr>
                <w:rStyle w:val="rvts82"/>
                <w:rFonts w:ascii="Times New Roman" w:hAnsi="Times New Roman"/>
                <w:b/>
                <w:sz w:val="32"/>
                <w:szCs w:val="32"/>
              </w:rPr>
              <w:t xml:space="preserve"> року</w:t>
            </w:r>
          </w:p>
        </w:tc>
      </w:tr>
      <w:tr w:rsidR="0065335E" w:rsidRPr="007043D3" w14:paraId="3B7FF2FD" w14:textId="77777777" w:rsidTr="007043D3">
        <w:trPr>
          <w:trHeight w:val="652"/>
        </w:trPr>
        <w:tc>
          <w:tcPr>
            <w:tcW w:w="14992" w:type="dxa"/>
            <w:gridSpan w:val="2"/>
            <w:shd w:val="clear" w:color="auto" w:fill="auto"/>
          </w:tcPr>
          <w:p w14:paraId="6D7EFB6A" w14:textId="2117D30E" w:rsidR="0065335E" w:rsidRPr="007043D3" w:rsidRDefault="0065335E" w:rsidP="00A0675D">
            <w:pPr>
              <w:pStyle w:val="ShapkaDocumentu"/>
              <w:keepNext w:val="0"/>
              <w:keepLines w:val="0"/>
              <w:widowControl w:val="0"/>
              <w:spacing w:line="228" w:lineRule="auto"/>
              <w:ind w:left="0"/>
              <w:rPr>
                <w:rStyle w:val="rvts82"/>
                <w:rFonts w:ascii="Times New Roman" w:hAnsi="Times New Roman"/>
                <w:sz w:val="28"/>
                <w:szCs w:val="28"/>
              </w:rPr>
            </w:pPr>
            <w:r w:rsidRPr="007043D3">
              <w:rPr>
                <w:rFonts w:ascii="Times New Roman" w:hAnsi="Times New Roman"/>
                <w:b/>
                <w:sz w:val="28"/>
                <w:szCs w:val="28"/>
              </w:rPr>
              <w:t>Досягнення у професійній діяльності, які зараховуються за останні п’ять років</w:t>
            </w:r>
            <w:r w:rsidR="007043D3">
              <w:rPr>
                <w:rFonts w:ascii="Times New Roman" w:hAnsi="Times New Roman"/>
                <w:b/>
                <w:sz w:val="32"/>
                <w:szCs w:val="32"/>
              </w:rPr>
              <w:t xml:space="preserve"> </w:t>
            </w:r>
            <w:r w:rsidR="007043D3">
              <w:rPr>
                <w:rFonts w:ascii="Times New Roman" w:hAnsi="Times New Roman"/>
                <w:sz w:val="28"/>
                <w:szCs w:val="28"/>
              </w:rPr>
              <w:br/>
            </w:r>
            <w:r w:rsidR="007043D3" w:rsidRPr="007043D3">
              <w:rPr>
                <w:rFonts w:ascii="Times New Roman" w:hAnsi="Times New Roman"/>
                <w:sz w:val="22"/>
                <w:szCs w:val="22"/>
              </w:rPr>
              <w:t>(</w:t>
            </w:r>
            <w:r w:rsidR="007043D3" w:rsidRPr="007043D3">
              <w:rPr>
                <w:rFonts w:ascii="Times New Roman" w:hAnsi="Times New Roman"/>
                <w:b/>
                <w:sz w:val="22"/>
                <w:szCs w:val="22"/>
              </w:rPr>
              <w:t>Пункт 38</w:t>
            </w:r>
            <w:r w:rsidR="007043D3" w:rsidRPr="007043D3">
              <w:rPr>
                <w:rFonts w:ascii="Times New Roman" w:hAnsi="Times New Roman"/>
                <w:sz w:val="22"/>
                <w:szCs w:val="22"/>
              </w:rPr>
              <w:t xml:space="preserve"> постанови КМУ</w:t>
            </w:r>
            <w:r w:rsidR="007043D3">
              <w:rPr>
                <w:rFonts w:ascii="Times New Roman" w:hAnsi="Times New Roman"/>
                <w:sz w:val="22"/>
                <w:szCs w:val="22"/>
              </w:rPr>
              <w:t xml:space="preserve"> від 30 грудня 2015 р. № 1187 </w:t>
            </w:r>
            <w:r w:rsidR="007043D3" w:rsidRPr="007043D3">
              <w:rPr>
                <w:rFonts w:ascii="Times New Roman" w:hAnsi="Times New Roman"/>
                <w:sz w:val="22"/>
                <w:szCs w:val="22"/>
              </w:rPr>
              <w:t>(в редакції постанови КМУ</w:t>
            </w:r>
            <w:r w:rsidR="007043D3">
              <w:rPr>
                <w:rFonts w:ascii="Times New Roman" w:hAnsi="Times New Roman"/>
                <w:sz w:val="22"/>
                <w:szCs w:val="22"/>
              </w:rPr>
              <w:t xml:space="preserve"> </w:t>
            </w:r>
            <w:r w:rsidR="007043D3" w:rsidRPr="007043D3">
              <w:rPr>
                <w:rFonts w:ascii="Times New Roman" w:hAnsi="Times New Roman"/>
                <w:sz w:val="22"/>
                <w:szCs w:val="22"/>
              </w:rPr>
              <w:t>від 24 березня 2021 р. № 365)</w:t>
            </w:r>
            <w:r w:rsidR="000B2EE6">
              <w:rPr>
                <w:rFonts w:ascii="Times New Roman" w:hAnsi="Times New Roman"/>
                <w:sz w:val="22"/>
                <w:szCs w:val="22"/>
              </w:rPr>
              <w:t xml:space="preserve"> </w:t>
            </w:r>
            <w:r w:rsidR="000B2EE6" w:rsidRPr="000B2EE6">
              <w:rPr>
                <w:rFonts w:ascii="Times New Roman" w:hAnsi="Times New Roman"/>
                <w:sz w:val="22"/>
                <w:szCs w:val="22"/>
              </w:rPr>
              <w:t xml:space="preserve">Станом на </w:t>
            </w:r>
            <w:r w:rsidR="00A0675D">
              <w:rPr>
                <w:rFonts w:ascii="Times New Roman" w:hAnsi="Times New Roman"/>
                <w:sz w:val="22"/>
                <w:szCs w:val="22"/>
              </w:rPr>
              <w:t>01</w:t>
            </w:r>
            <w:r w:rsidR="000B2EE6" w:rsidRPr="000B2EE6">
              <w:rPr>
                <w:rFonts w:ascii="Times New Roman" w:hAnsi="Times New Roman"/>
                <w:sz w:val="22"/>
                <w:szCs w:val="22"/>
              </w:rPr>
              <w:t>.0</w:t>
            </w:r>
            <w:r w:rsidR="00A0675D">
              <w:rPr>
                <w:rFonts w:ascii="Times New Roman" w:hAnsi="Times New Roman"/>
                <w:sz w:val="22"/>
                <w:szCs w:val="22"/>
              </w:rPr>
              <w:t>4</w:t>
            </w:r>
            <w:r w:rsidR="000B2EE6" w:rsidRPr="000B2EE6">
              <w:rPr>
                <w:rFonts w:ascii="Times New Roman" w:hAnsi="Times New Roman"/>
                <w:sz w:val="22"/>
                <w:szCs w:val="22"/>
              </w:rPr>
              <w:t>.202</w:t>
            </w:r>
            <w:r w:rsidR="00A0675D">
              <w:rPr>
                <w:rFonts w:ascii="Times New Roman" w:hAnsi="Times New Roman"/>
                <w:sz w:val="22"/>
                <w:szCs w:val="22"/>
              </w:rPr>
              <w:t>6</w:t>
            </w:r>
            <w:r w:rsidR="000B2EE6" w:rsidRPr="000B2EE6">
              <w:rPr>
                <w:rFonts w:ascii="Times New Roman" w:hAnsi="Times New Roman"/>
                <w:sz w:val="22"/>
                <w:szCs w:val="22"/>
              </w:rPr>
              <w:t xml:space="preserve"> р.</w:t>
            </w:r>
          </w:p>
        </w:tc>
      </w:tr>
      <w:tr w:rsidR="0065335E" w:rsidRPr="003D6ADA" w14:paraId="1018EC2A" w14:textId="77777777" w:rsidTr="007043D3">
        <w:tc>
          <w:tcPr>
            <w:tcW w:w="6487" w:type="dxa"/>
            <w:shd w:val="clear" w:color="auto" w:fill="auto"/>
          </w:tcPr>
          <w:p w14:paraId="3699B9E3"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t>1)наявність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tc>
        <w:tc>
          <w:tcPr>
            <w:tcW w:w="8505" w:type="dxa"/>
            <w:shd w:val="clear" w:color="auto" w:fill="auto"/>
          </w:tcPr>
          <w:p w14:paraId="73B5AAD1" w14:textId="77777777" w:rsidR="00434ED5" w:rsidRDefault="00663E70" w:rsidP="00663E70">
            <w:pPr>
              <w:tabs>
                <w:tab w:val="left" w:pos="5040"/>
                <w:tab w:val="left" w:pos="11340"/>
              </w:tabs>
              <w:spacing w:after="0" w:line="240" w:lineRule="auto"/>
              <w:jc w:val="both"/>
              <w:rPr>
                <w:rFonts w:ascii="Times New Roman" w:hAnsi="Times New Roman"/>
                <w:sz w:val="24"/>
                <w:szCs w:val="24"/>
                <w:lang w:val="uk-UA"/>
              </w:rPr>
            </w:pPr>
            <w:r w:rsidRPr="00A0675D">
              <w:rPr>
                <w:lang w:val="en-US"/>
              </w:rPr>
              <w:t>1.</w:t>
            </w:r>
            <w:r w:rsidRPr="00434ED5">
              <w:rPr>
                <w:rFonts w:ascii="Times New Roman" w:hAnsi="Times New Roman"/>
                <w:sz w:val="24"/>
                <w:szCs w:val="24"/>
                <w:lang w:val="uk-UA"/>
              </w:rPr>
              <w:t xml:space="preserve"> Rashkivskyi, V., Teteriatnyk, O., &amp; Shandra, O. (2023). Комплексна оцінка ефективності роботи породоруйнівного робочого органу будівельної машини. Pidvodni Tehnologii, (12), 46–54. </w:t>
            </w:r>
          </w:p>
          <w:p w14:paraId="0C0A3453" w14:textId="45689503" w:rsidR="00434ED5" w:rsidRPr="00753220" w:rsidRDefault="00434ED5" w:rsidP="00663E70">
            <w:pPr>
              <w:tabs>
                <w:tab w:val="left" w:pos="5040"/>
                <w:tab w:val="left" w:pos="11340"/>
              </w:tabs>
              <w:spacing w:after="0" w:line="240" w:lineRule="auto"/>
              <w:jc w:val="both"/>
              <w:rPr>
                <w:rStyle w:val="a3"/>
                <w:rFonts w:ascii="Times New Roman" w:eastAsia="Calibri" w:hAnsi="Times New Roman" w:cs="Times New Roman"/>
                <w:bCs/>
                <w:sz w:val="24"/>
                <w:szCs w:val="24"/>
                <w:lang w:val="uk-UA"/>
              </w:rPr>
            </w:pPr>
            <w:r w:rsidRPr="00434ED5">
              <w:rPr>
                <w:rFonts w:ascii="Times New Roman" w:hAnsi="Times New Roman"/>
                <w:sz w:val="24"/>
                <w:szCs w:val="24"/>
                <w:lang w:val="uk-UA"/>
              </w:rPr>
              <w:t>DOI</w:t>
            </w:r>
            <w:r w:rsidR="0069375E">
              <w:rPr>
                <w:rFonts w:ascii="Times New Roman" w:hAnsi="Times New Roman"/>
                <w:sz w:val="24"/>
                <w:szCs w:val="24"/>
                <w:lang w:val="uk-UA"/>
              </w:rPr>
              <w:t>:</w:t>
            </w:r>
            <w:r w:rsidRPr="00434ED5">
              <w:rPr>
                <w:rFonts w:ascii="Times New Roman" w:hAnsi="Times New Roman"/>
                <w:sz w:val="24"/>
                <w:szCs w:val="24"/>
                <w:lang w:val="uk-UA"/>
              </w:rPr>
              <w:t xml:space="preserve"> </w:t>
            </w:r>
            <w:hyperlink r:id="rId7" w:history="1">
              <w:r w:rsidR="0069375E" w:rsidRPr="00753220">
                <w:rPr>
                  <w:rStyle w:val="a3"/>
                  <w:rFonts w:ascii="Times New Roman" w:eastAsia="Calibri" w:hAnsi="Times New Roman" w:cs="Times New Roman"/>
                  <w:bCs/>
                  <w:sz w:val="24"/>
                  <w:szCs w:val="24"/>
                  <w:lang w:val="en-US"/>
                </w:rPr>
                <w:t>https</w:t>
              </w:r>
              <w:r w:rsidR="0069375E" w:rsidRPr="00753220">
                <w:rPr>
                  <w:rStyle w:val="a3"/>
                  <w:rFonts w:ascii="Times New Roman" w:eastAsia="Calibri" w:hAnsi="Times New Roman" w:cs="Times New Roman"/>
                  <w:bCs/>
                  <w:sz w:val="24"/>
                  <w:szCs w:val="24"/>
                  <w:lang w:val="uk-UA"/>
                </w:rPr>
                <w:t>://</w:t>
              </w:r>
              <w:r w:rsidR="0069375E" w:rsidRPr="00753220">
                <w:rPr>
                  <w:rStyle w:val="a3"/>
                  <w:rFonts w:ascii="Times New Roman" w:eastAsia="Calibri" w:hAnsi="Times New Roman" w:cs="Times New Roman"/>
                  <w:bCs/>
                  <w:sz w:val="24"/>
                  <w:szCs w:val="24"/>
                  <w:lang w:val="en-US"/>
                </w:rPr>
                <w:t>doi</w:t>
              </w:r>
              <w:r w:rsidR="0069375E" w:rsidRPr="00753220">
                <w:rPr>
                  <w:rStyle w:val="a3"/>
                  <w:rFonts w:ascii="Times New Roman" w:eastAsia="Calibri" w:hAnsi="Times New Roman" w:cs="Times New Roman"/>
                  <w:bCs/>
                  <w:sz w:val="24"/>
                  <w:szCs w:val="24"/>
                  <w:lang w:val="uk-UA"/>
                </w:rPr>
                <w:t>.</w:t>
              </w:r>
              <w:r w:rsidR="0069375E" w:rsidRPr="00753220">
                <w:rPr>
                  <w:rStyle w:val="a3"/>
                  <w:rFonts w:ascii="Times New Roman" w:eastAsia="Calibri" w:hAnsi="Times New Roman" w:cs="Times New Roman"/>
                  <w:bCs/>
                  <w:sz w:val="24"/>
                  <w:szCs w:val="24"/>
                  <w:lang w:val="en-US"/>
                </w:rPr>
                <w:t>org</w:t>
              </w:r>
              <w:r w:rsidR="0069375E" w:rsidRPr="00753220">
                <w:rPr>
                  <w:rStyle w:val="a3"/>
                  <w:rFonts w:ascii="Times New Roman" w:eastAsia="Calibri" w:hAnsi="Times New Roman" w:cs="Times New Roman"/>
                  <w:bCs/>
                  <w:sz w:val="24"/>
                  <w:szCs w:val="24"/>
                  <w:lang w:val="uk-UA"/>
                </w:rPr>
                <w:t>/10.32347/</w:t>
              </w:r>
              <w:r w:rsidR="0069375E" w:rsidRPr="00753220">
                <w:rPr>
                  <w:rStyle w:val="a3"/>
                  <w:rFonts w:ascii="Times New Roman" w:eastAsia="Calibri" w:hAnsi="Times New Roman" w:cs="Times New Roman"/>
                  <w:bCs/>
                  <w:sz w:val="24"/>
                  <w:szCs w:val="24"/>
                  <w:lang w:val="en-US"/>
                </w:rPr>
                <w:t>uwt</w:t>
              </w:r>
              <w:r w:rsidR="0069375E" w:rsidRPr="00753220">
                <w:rPr>
                  <w:rStyle w:val="a3"/>
                  <w:rFonts w:ascii="Times New Roman" w:eastAsia="Calibri" w:hAnsi="Times New Roman" w:cs="Times New Roman"/>
                  <w:bCs/>
                  <w:sz w:val="24"/>
                  <w:szCs w:val="24"/>
                  <w:lang w:val="uk-UA"/>
                </w:rPr>
                <w:t>.2022.12.1302</w:t>
              </w:r>
            </w:hyperlink>
          </w:p>
          <w:p w14:paraId="58295F2B" w14:textId="1B9B1CC4" w:rsidR="00753220" w:rsidRPr="00753220" w:rsidRDefault="00753220" w:rsidP="00663E70">
            <w:pPr>
              <w:tabs>
                <w:tab w:val="left" w:pos="5040"/>
                <w:tab w:val="left" w:pos="11340"/>
              </w:tabs>
              <w:spacing w:after="0" w:line="240" w:lineRule="auto"/>
              <w:jc w:val="both"/>
              <w:rPr>
                <w:rFonts w:ascii="Times New Roman" w:hAnsi="Times New Roman"/>
                <w:sz w:val="24"/>
                <w:szCs w:val="24"/>
                <w:lang w:val="uk-UA"/>
              </w:rPr>
            </w:pPr>
            <w:r w:rsidRPr="00753220">
              <w:rPr>
                <w:rStyle w:val="a3"/>
                <w:rFonts w:ascii="Times New Roman" w:eastAsia="Calibri" w:hAnsi="Times New Roman" w:cs="Times New Roman"/>
                <w:bCs/>
                <w:color w:val="auto"/>
                <w:u w:val="none"/>
                <w:lang w:val="uk-UA"/>
              </w:rPr>
              <w:t>(Фахове видання)</w:t>
            </w:r>
          </w:p>
          <w:p w14:paraId="31526CB0" w14:textId="77777777" w:rsidR="00753220" w:rsidRDefault="00663E70" w:rsidP="008559FF">
            <w:pPr>
              <w:tabs>
                <w:tab w:val="left" w:pos="5040"/>
                <w:tab w:val="left" w:pos="11340"/>
              </w:tabs>
              <w:spacing w:after="0" w:line="240" w:lineRule="auto"/>
              <w:jc w:val="both"/>
              <w:rPr>
                <w:rFonts w:ascii="Times New Roman" w:hAnsi="Times New Roman"/>
                <w:sz w:val="24"/>
                <w:szCs w:val="24"/>
                <w:lang w:val="uk-UA"/>
              </w:rPr>
            </w:pPr>
            <w:r w:rsidRPr="00434ED5">
              <w:rPr>
                <w:rFonts w:ascii="Times New Roman" w:hAnsi="Times New Roman"/>
                <w:sz w:val="24"/>
                <w:szCs w:val="24"/>
                <w:lang w:val="uk-UA"/>
              </w:rPr>
              <w:t xml:space="preserve">2. </w:t>
            </w:r>
            <w:r w:rsidR="008559FF" w:rsidRPr="00434ED5">
              <w:rPr>
                <w:rFonts w:ascii="Times New Roman" w:hAnsi="Times New Roman"/>
                <w:sz w:val="24"/>
                <w:szCs w:val="24"/>
                <w:lang w:val="uk-UA"/>
              </w:rPr>
              <w:t>Система аналітичного визначення норм витрат праці на виконання будівельних процесів /</w:t>
            </w:r>
            <w:r w:rsidRPr="00434ED5">
              <w:rPr>
                <w:rFonts w:ascii="Times New Roman" w:hAnsi="Times New Roman"/>
                <w:sz w:val="24"/>
                <w:szCs w:val="24"/>
                <w:lang w:val="uk-UA"/>
              </w:rPr>
              <w:t xml:space="preserve"> </w:t>
            </w:r>
            <w:r w:rsidR="008559FF" w:rsidRPr="00434ED5">
              <w:rPr>
                <w:rFonts w:ascii="Times New Roman" w:hAnsi="Times New Roman"/>
                <w:sz w:val="24"/>
                <w:szCs w:val="24"/>
                <w:lang w:val="uk-UA"/>
              </w:rPr>
              <w:t xml:space="preserve">Г.М. Тонкачеєв, В.Г. Тонкачеєв, В.П. Рашківський, О.Г. Шандра </w:t>
            </w:r>
            <w:r w:rsidRPr="00434ED5">
              <w:rPr>
                <w:rFonts w:ascii="Times New Roman" w:hAnsi="Times New Roman"/>
                <w:sz w:val="24"/>
                <w:szCs w:val="24"/>
                <w:lang w:val="uk-UA"/>
              </w:rPr>
              <w:t xml:space="preserve">// Будівельне виробництво №74/2022., НДІБВ, К.: 2023. – с. 3-10 </w:t>
            </w:r>
          </w:p>
          <w:p w14:paraId="4EF88A3C" w14:textId="5A7CD9C3" w:rsidR="00753220" w:rsidRDefault="00663E70" w:rsidP="008559FF">
            <w:pPr>
              <w:tabs>
                <w:tab w:val="left" w:pos="5040"/>
                <w:tab w:val="left" w:pos="11340"/>
              </w:tabs>
              <w:spacing w:after="0" w:line="240" w:lineRule="auto"/>
              <w:jc w:val="both"/>
              <w:rPr>
                <w:rFonts w:ascii="Times New Roman" w:hAnsi="Times New Roman"/>
                <w:sz w:val="24"/>
                <w:szCs w:val="24"/>
                <w:lang w:val="uk-UA"/>
              </w:rPr>
            </w:pPr>
            <w:r w:rsidRPr="00434ED5">
              <w:rPr>
                <w:rFonts w:ascii="Times New Roman" w:hAnsi="Times New Roman"/>
                <w:sz w:val="24"/>
                <w:szCs w:val="24"/>
                <w:lang w:val="uk-UA"/>
              </w:rPr>
              <w:t>DOI:</w:t>
            </w:r>
            <w:r w:rsidR="00753220">
              <w:t xml:space="preserve"> </w:t>
            </w:r>
            <w:hyperlink r:id="rId8" w:history="1">
              <w:r w:rsidR="00753220" w:rsidRPr="00231937">
                <w:rPr>
                  <w:rStyle w:val="a3"/>
                  <w:rFonts w:ascii="Times New Roman" w:hAnsi="Times New Roman"/>
                  <w:sz w:val="24"/>
                  <w:szCs w:val="24"/>
                  <w:lang w:val="uk-UA"/>
                </w:rPr>
                <w:t>https://doi.org/10.36750/2524-2555.74.3-10</w:t>
              </w:r>
            </w:hyperlink>
            <w:r w:rsidRPr="00434ED5">
              <w:rPr>
                <w:rFonts w:ascii="Times New Roman" w:hAnsi="Times New Roman"/>
                <w:sz w:val="24"/>
                <w:szCs w:val="24"/>
                <w:lang w:val="uk-UA"/>
              </w:rPr>
              <w:t xml:space="preserve"> </w:t>
            </w:r>
          </w:p>
          <w:p w14:paraId="5493BAE9" w14:textId="66D686A6" w:rsidR="00663E70" w:rsidRPr="00434ED5" w:rsidRDefault="00663E70" w:rsidP="008559FF">
            <w:pPr>
              <w:tabs>
                <w:tab w:val="left" w:pos="5040"/>
                <w:tab w:val="left" w:pos="11340"/>
              </w:tabs>
              <w:spacing w:after="0" w:line="240" w:lineRule="auto"/>
              <w:jc w:val="both"/>
              <w:rPr>
                <w:rFonts w:ascii="Times New Roman" w:hAnsi="Times New Roman"/>
                <w:sz w:val="24"/>
                <w:szCs w:val="24"/>
                <w:lang w:val="uk-UA"/>
              </w:rPr>
            </w:pPr>
            <w:r w:rsidRPr="00434ED5">
              <w:rPr>
                <w:rFonts w:ascii="Times New Roman" w:hAnsi="Times New Roman"/>
                <w:sz w:val="24"/>
                <w:szCs w:val="24"/>
                <w:lang w:val="uk-UA"/>
              </w:rPr>
              <w:t>(Фахове виданн</w:t>
            </w:r>
            <w:bookmarkStart w:id="0" w:name="_GoBack"/>
            <w:bookmarkEnd w:id="0"/>
            <w:r w:rsidRPr="00434ED5">
              <w:rPr>
                <w:rFonts w:ascii="Times New Roman" w:hAnsi="Times New Roman"/>
                <w:sz w:val="24"/>
                <w:szCs w:val="24"/>
                <w:lang w:val="uk-UA"/>
              </w:rPr>
              <w:t>я</w:t>
            </w:r>
            <w:r w:rsidR="008559FF" w:rsidRPr="00434ED5">
              <w:rPr>
                <w:rFonts w:ascii="Times New Roman" w:hAnsi="Times New Roman"/>
                <w:sz w:val="24"/>
                <w:szCs w:val="24"/>
                <w:lang w:val="uk-UA"/>
              </w:rPr>
              <w:t>)</w:t>
            </w:r>
          </w:p>
          <w:p w14:paraId="42766133" w14:textId="5AA51DF9" w:rsidR="006B1402" w:rsidRDefault="008559FF" w:rsidP="008559FF">
            <w:pPr>
              <w:tabs>
                <w:tab w:val="left" w:pos="5040"/>
                <w:tab w:val="left" w:pos="11340"/>
              </w:tabs>
              <w:spacing w:after="0" w:line="240" w:lineRule="auto"/>
              <w:jc w:val="both"/>
              <w:rPr>
                <w:rFonts w:ascii="Times New Roman" w:hAnsi="Times New Roman"/>
                <w:sz w:val="24"/>
                <w:szCs w:val="24"/>
                <w:u w:val="single"/>
                <w:lang w:val="uk-UA"/>
              </w:rPr>
            </w:pPr>
            <w:r w:rsidRPr="00434ED5">
              <w:rPr>
                <w:rFonts w:ascii="Times New Roman" w:hAnsi="Times New Roman"/>
                <w:sz w:val="24"/>
                <w:szCs w:val="24"/>
                <w:lang w:val="uk-UA"/>
              </w:rPr>
              <w:t xml:space="preserve">3. </w:t>
            </w:r>
            <w:r w:rsidR="006B1402" w:rsidRPr="00434ED5">
              <w:rPr>
                <w:rFonts w:ascii="Times New Roman" w:hAnsi="Times New Roman"/>
                <w:sz w:val="24"/>
                <w:szCs w:val="24"/>
                <w:lang w:val="uk-UA"/>
              </w:rPr>
              <w:t>Метод цілочислового нормування процесу підсилення залізобетонних рам каркасних будівель / Г.М. Тонкачеєв, О.С. Молодід, В.Г. Тонкачеєв, О.Г. Шандра. // Нові технології в будівництві. Київ ДП НДІБВ. 2023. № 43. с. 60-66. DOI</w:t>
            </w:r>
            <w:r w:rsidR="00753220">
              <w:rPr>
                <w:rFonts w:ascii="Times New Roman" w:hAnsi="Times New Roman"/>
                <w:sz w:val="24"/>
                <w:szCs w:val="24"/>
                <w:lang w:val="uk-UA"/>
              </w:rPr>
              <w:t>:</w:t>
            </w:r>
            <w:r w:rsidR="006B1402" w:rsidRPr="00434ED5">
              <w:rPr>
                <w:rFonts w:ascii="Times New Roman" w:hAnsi="Times New Roman"/>
                <w:sz w:val="24"/>
                <w:szCs w:val="24"/>
                <w:lang w:val="uk-UA"/>
              </w:rPr>
              <w:t xml:space="preserve"> </w:t>
            </w:r>
            <w:hyperlink r:id="rId9" w:history="1">
              <w:r w:rsidR="006B6969" w:rsidRPr="006B6969">
                <w:rPr>
                  <w:rStyle w:val="a3"/>
                  <w:bCs/>
                  <w:lang w:val="uk-UA"/>
                </w:rPr>
                <w:t>https://doi.org/10.32782/2664-0406.2023.43.8</w:t>
              </w:r>
            </w:hyperlink>
          </w:p>
          <w:p w14:paraId="51FF5552" w14:textId="69A04AF5" w:rsidR="00753220" w:rsidRDefault="00753220" w:rsidP="008559FF">
            <w:pPr>
              <w:tabs>
                <w:tab w:val="left" w:pos="5040"/>
                <w:tab w:val="left" w:pos="11340"/>
              </w:tabs>
              <w:spacing w:after="0" w:line="240" w:lineRule="auto"/>
              <w:jc w:val="both"/>
              <w:rPr>
                <w:rFonts w:ascii="Times New Roman" w:hAnsi="Times New Roman"/>
                <w:sz w:val="24"/>
                <w:szCs w:val="24"/>
                <w:lang w:val="uk-UA"/>
              </w:rPr>
            </w:pPr>
            <w:r>
              <w:rPr>
                <w:rFonts w:ascii="Times New Roman" w:hAnsi="Times New Roman"/>
                <w:sz w:val="24"/>
                <w:szCs w:val="24"/>
                <w:lang w:val="uk-UA"/>
              </w:rPr>
              <w:t>(Фахове видання)</w:t>
            </w:r>
          </w:p>
          <w:p w14:paraId="12074E77" w14:textId="2FCC994A" w:rsidR="00753220" w:rsidRDefault="008559FF" w:rsidP="008559FF">
            <w:pPr>
              <w:tabs>
                <w:tab w:val="left" w:pos="5040"/>
                <w:tab w:val="left" w:pos="11340"/>
              </w:tabs>
              <w:spacing w:after="0" w:line="240" w:lineRule="auto"/>
              <w:jc w:val="both"/>
              <w:rPr>
                <w:rFonts w:ascii="Times New Roman" w:hAnsi="Times New Roman"/>
                <w:sz w:val="24"/>
                <w:szCs w:val="24"/>
                <w:lang w:val="uk-UA"/>
              </w:rPr>
            </w:pPr>
            <w:r w:rsidRPr="00434ED5">
              <w:rPr>
                <w:rFonts w:ascii="Times New Roman" w:hAnsi="Times New Roman"/>
                <w:sz w:val="24"/>
                <w:szCs w:val="24"/>
                <w:lang w:val="uk-UA"/>
              </w:rPr>
              <w:t>4</w:t>
            </w:r>
            <w:r w:rsidR="00247FCA" w:rsidRPr="00434ED5">
              <w:rPr>
                <w:rFonts w:ascii="Times New Roman" w:hAnsi="Times New Roman"/>
                <w:sz w:val="24"/>
                <w:szCs w:val="24"/>
                <w:lang w:val="uk-UA"/>
              </w:rPr>
              <w:t xml:space="preserve">. Молодід О.С., Шандра О.Г.  Методи нормування процесів зведення монолітних будівельних конструкцій // Шляхи підвищення ефективності будівництва в ринкових умовах. КНУБА. вип. 52(1). 2023. с. 55-61. DOI: </w:t>
            </w:r>
            <w:hyperlink r:id="rId10" w:history="1">
              <w:r w:rsidR="00753220" w:rsidRPr="00231937">
                <w:rPr>
                  <w:rStyle w:val="a3"/>
                  <w:rFonts w:ascii="Times New Roman" w:hAnsi="Times New Roman"/>
                  <w:sz w:val="24"/>
                  <w:szCs w:val="24"/>
                  <w:lang w:val="uk-UA"/>
                </w:rPr>
                <w:t>https://doi.org/10.32347/2707-501x.2023.52(1)</w:t>
              </w:r>
            </w:hyperlink>
          </w:p>
          <w:p w14:paraId="08A488E8" w14:textId="77777777" w:rsidR="00753220" w:rsidRPr="00753220" w:rsidRDefault="00247FCA" w:rsidP="00753220">
            <w:pPr>
              <w:tabs>
                <w:tab w:val="left" w:pos="5040"/>
                <w:tab w:val="left" w:pos="11340"/>
              </w:tabs>
              <w:spacing w:after="0" w:line="240" w:lineRule="auto"/>
              <w:jc w:val="both"/>
              <w:rPr>
                <w:rFonts w:ascii="Times New Roman" w:hAnsi="Times New Roman"/>
                <w:sz w:val="24"/>
                <w:szCs w:val="24"/>
                <w:lang w:val="uk-UA"/>
              </w:rPr>
            </w:pPr>
            <w:r w:rsidRPr="00434ED5">
              <w:rPr>
                <w:rFonts w:ascii="Times New Roman" w:hAnsi="Times New Roman"/>
                <w:sz w:val="24"/>
                <w:szCs w:val="24"/>
                <w:lang w:val="uk-UA"/>
              </w:rPr>
              <w:t xml:space="preserve"> </w:t>
            </w:r>
            <w:r w:rsidR="00753220" w:rsidRPr="00753220">
              <w:rPr>
                <w:rFonts w:ascii="Times New Roman" w:hAnsi="Times New Roman"/>
                <w:sz w:val="24"/>
                <w:szCs w:val="24"/>
                <w:lang w:val="uk-UA"/>
              </w:rPr>
              <w:t>(Фахове видання)</w:t>
            </w:r>
          </w:p>
          <w:p w14:paraId="6968ED99" w14:textId="2EA904D3" w:rsidR="003D6ADA" w:rsidRPr="00434ED5" w:rsidRDefault="006B1402" w:rsidP="003D6ADA">
            <w:pPr>
              <w:widowControl w:val="0"/>
              <w:autoSpaceDE w:val="0"/>
              <w:autoSpaceDN w:val="0"/>
              <w:spacing w:after="0" w:line="240" w:lineRule="auto"/>
              <w:contextualSpacing/>
              <w:jc w:val="both"/>
              <w:rPr>
                <w:rFonts w:ascii="Times New Roman" w:hAnsi="Times New Roman"/>
                <w:sz w:val="24"/>
                <w:szCs w:val="24"/>
                <w:lang w:val="uk-UA"/>
              </w:rPr>
            </w:pPr>
            <w:r w:rsidRPr="00434ED5">
              <w:rPr>
                <w:rFonts w:ascii="Times New Roman" w:hAnsi="Times New Roman"/>
                <w:sz w:val="24"/>
                <w:szCs w:val="24"/>
                <w:lang w:val="uk-UA"/>
              </w:rPr>
              <w:t xml:space="preserve">5. </w:t>
            </w:r>
            <w:r w:rsidR="003D6ADA" w:rsidRPr="00434ED5">
              <w:rPr>
                <w:rFonts w:ascii="Times New Roman" w:hAnsi="Times New Roman"/>
                <w:sz w:val="24"/>
                <w:szCs w:val="24"/>
                <w:lang w:val="uk-UA"/>
              </w:rPr>
              <w:t xml:space="preserve"> LEONID CHEBANOV, LIUBOV LEPSKA, TARAS CHEBANOV, OLENA SHANDRA, Sergei OSIPOV, ANASTASIA OSIPOVA, KOSTIANTYN CHERNENKO (2024). Problems of construction and operation of buildings and structures in the conditions of reconstruction and restoration using universal </w:t>
            </w:r>
            <w:r w:rsidR="003D6ADA" w:rsidRPr="00434ED5">
              <w:rPr>
                <w:rFonts w:ascii="Times New Roman" w:hAnsi="Times New Roman"/>
                <w:sz w:val="24"/>
                <w:szCs w:val="24"/>
                <w:lang w:val="uk-UA"/>
              </w:rPr>
              <w:lastRenderedPageBreak/>
              <w:t xml:space="preserve">machines.  </w:t>
            </w:r>
            <w:r w:rsidR="003D6ADA" w:rsidRPr="00434ED5">
              <w:rPr>
                <w:rFonts w:ascii="Tahoma" w:hAnsi="Tahoma" w:cs="Tahoma"/>
                <w:sz w:val="24"/>
                <w:szCs w:val="24"/>
                <w:lang w:val="uk-UA"/>
              </w:rPr>
              <w:t>﻿</w:t>
            </w:r>
            <w:r w:rsidR="003D6ADA" w:rsidRPr="00434ED5">
              <w:rPr>
                <w:rFonts w:ascii="Times New Roman" w:hAnsi="Times New Roman"/>
                <w:sz w:val="24"/>
                <w:szCs w:val="24"/>
                <w:lang w:val="uk-UA"/>
              </w:rPr>
              <w:t>AD ALTA-JOURNAL OF INTERDISCIPLINARY RESEARCH, Special Issue (14/01-XL.), 263 –270.  (Web Of Science)</w:t>
            </w:r>
          </w:p>
          <w:p w14:paraId="4A8CA6BB" w14:textId="77777777" w:rsidR="006B6969" w:rsidRPr="006B6969" w:rsidRDefault="006B6969" w:rsidP="006B6969">
            <w:pPr>
              <w:widowControl w:val="0"/>
              <w:autoSpaceDE w:val="0"/>
              <w:autoSpaceDN w:val="0"/>
              <w:spacing w:after="0" w:line="240" w:lineRule="auto"/>
              <w:contextualSpacing/>
              <w:jc w:val="both"/>
              <w:rPr>
                <w:bCs/>
                <w:lang w:val="uk-UA"/>
              </w:rPr>
            </w:pPr>
            <w:hyperlink r:id="rId11" w:history="1">
              <w:r w:rsidRPr="006B6969">
                <w:rPr>
                  <w:rStyle w:val="a3"/>
                  <w:bCs/>
                  <w:lang w:val="uk-UA"/>
                </w:rPr>
                <w:t xml:space="preserve"> https://www.magnanimitas.cz/ ADALTA/140140/papers/J_13.pdf</w:t>
              </w:r>
            </w:hyperlink>
          </w:p>
          <w:p w14:paraId="61151BC6" w14:textId="1FD1E532" w:rsidR="00247FCA" w:rsidRPr="00434ED5" w:rsidRDefault="006B1402" w:rsidP="00247FCA">
            <w:pPr>
              <w:tabs>
                <w:tab w:val="left" w:pos="5040"/>
                <w:tab w:val="left" w:pos="11340"/>
              </w:tabs>
              <w:spacing w:after="0" w:line="240" w:lineRule="auto"/>
              <w:jc w:val="both"/>
              <w:rPr>
                <w:rFonts w:ascii="Times New Roman" w:hAnsi="Times New Roman"/>
                <w:sz w:val="24"/>
                <w:szCs w:val="24"/>
                <w:lang w:val="uk-UA"/>
              </w:rPr>
            </w:pPr>
            <w:r w:rsidRPr="00434ED5">
              <w:rPr>
                <w:rFonts w:ascii="Times New Roman" w:hAnsi="Times New Roman"/>
                <w:sz w:val="24"/>
                <w:szCs w:val="24"/>
                <w:lang w:val="uk-UA"/>
              </w:rPr>
              <w:t xml:space="preserve">6. </w:t>
            </w:r>
            <w:r w:rsidR="00247FCA" w:rsidRPr="00434ED5">
              <w:rPr>
                <w:rFonts w:ascii="Times New Roman" w:hAnsi="Times New Roman"/>
                <w:sz w:val="24"/>
                <w:szCs w:val="24"/>
                <w:lang w:val="uk-UA"/>
              </w:rPr>
              <w:t>Лепська Л.А., Тонкачеєв Г.М., Шандра О.Г. Підвищення технологічності монтажу</w:t>
            </w:r>
            <w:r w:rsidR="00753220">
              <w:rPr>
                <w:rFonts w:ascii="Times New Roman" w:hAnsi="Times New Roman"/>
                <w:sz w:val="24"/>
                <w:szCs w:val="24"/>
                <w:lang w:val="uk-UA"/>
              </w:rPr>
              <w:t xml:space="preserve"> </w:t>
            </w:r>
            <w:r w:rsidR="00247FCA" w:rsidRPr="00434ED5">
              <w:rPr>
                <w:rFonts w:ascii="Times New Roman" w:hAnsi="Times New Roman"/>
                <w:sz w:val="24"/>
                <w:szCs w:val="24"/>
                <w:lang w:val="uk-UA"/>
              </w:rPr>
              <w:t xml:space="preserve">каркасних будівель: передові методи / Містобудування та територіальне планування: Зб. наук. праць. К.: КНУБА, 2024. № 85 (2024). С. 315-339. </w:t>
            </w:r>
          </w:p>
          <w:p w14:paraId="01D7554C" w14:textId="52526855" w:rsidR="00247FCA" w:rsidRDefault="00247FCA" w:rsidP="00247FCA">
            <w:pPr>
              <w:tabs>
                <w:tab w:val="left" w:pos="5040"/>
                <w:tab w:val="left" w:pos="11340"/>
              </w:tabs>
              <w:spacing w:after="0" w:line="240" w:lineRule="auto"/>
              <w:jc w:val="both"/>
              <w:rPr>
                <w:rStyle w:val="a3"/>
                <w:rFonts w:ascii="Times New Roman" w:hAnsi="Times New Roman"/>
                <w:sz w:val="24"/>
                <w:szCs w:val="24"/>
                <w:lang w:val="uk-UA"/>
              </w:rPr>
            </w:pPr>
            <w:r w:rsidRPr="00434ED5">
              <w:rPr>
                <w:rFonts w:ascii="Times New Roman" w:hAnsi="Times New Roman"/>
                <w:sz w:val="24"/>
                <w:szCs w:val="24"/>
                <w:lang w:val="uk-UA"/>
              </w:rPr>
              <w:t xml:space="preserve">DOI: </w:t>
            </w:r>
            <w:hyperlink r:id="rId12" w:history="1">
              <w:r w:rsidR="00434ED5" w:rsidRPr="00E82011">
                <w:rPr>
                  <w:rStyle w:val="a3"/>
                  <w:rFonts w:ascii="Times New Roman" w:hAnsi="Times New Roman"/>
                  <w:sz w:val="24"/>
                  <w:szCs w:val="24"/>
                  <w:lang w:val="uk-UA"/>
                </w:rPr>
                <w:t>https://doi.org/10.32347/2076-815x.2024.85</w:t>
              </w:r>
            </w:hyperlink>
          </w:p>
          <w:p w14:paraId="41E593B9" w14:textId="77777777" w:rsidR="00753220" w:rsidRPr="00753220" w:rsidRDefault="00753220" w:rsidP="00753220">
            <w:pPr>
              <w:tabs>
                <w:tab w:val="left" w:pos="5040"/>
                <w:tab w:val="left" w:pos="11340"/>
              </w:tabs>
              <w:spacing w:after="0" w:line="240" w:lineRule="auto"/>
              <w:jc w:val="both"/>
              <w:rPr>
                <w:sz w:val="24"/>
                <w:szCs w:val="24"/>
                <w:lang w:val="uk-UA"/>
              </w:rPr>
            </w:pPr>
            <w:r w:rsidRPr="00753220">
              <w:rPr>
                <w:sz w:val="24"/>
                <w:szCs w:val="24"/>
                <w:lang w:val="uk-UA"/>
              </w:rPr>
              <w:t>(Фахове видання)</w:t>
            </w:r>
          </w:p>
          <w:p w14:paraId="2D85C99C" w14:textId="7F7A2B62" w:rsidR="00434ED5" w:rsidRDefault="00247FCA" w:rsidP="00247FCA">
            <w:pPr>
              <w:tabs>
                <w:tab w:val="left" w:pos="5040"/>
                <w:tab w:val="left" w:pos="11340"/>
              </w:tabs>
              <w:spacing w:after="0" w:line="240" w:lineRule="auto"/>
              <w:jc w:val="both"/>
              <w:rPr>
                <w:rStyle w:val="a3"/>
                <w:sz w:val="24"/>
                <w:szCs w:val="24"/>
                <w:lang w:val="uk-UA"/>
              </w:rPr>
            </w:pPr>
            <w:r w:rsidRPr="00434ED5">
              <w:rPr>
                <w:rFonts w:ascii="Times New Roman" w:hAnsi="Times New Roman"/>
                <w:sz w:val="24"/>
                <w:szCs w:val="24"/>
                <w:lang w:val="uk-UA"/>
              </w:rPr>
              <w:t xml:space="preserve">7. </w:t>
            </w:r>
            <w:r w:rsidR="003D6ADA" w:rsidRPr="003D6ADA">
              <w:rPr>
                <w:rFonts w:ascii="Times New Roman" w:hAnsi="Times New Roman"/>
                <w:sz w:val="24"/>
                <w:szCs w:val="24"/>
                <w:lang w:val="uk-UA"/>
              </w:rPr>
              <w:t xml:space="preserve"> Тонкачеєв Г.М., Тригуб А.О., Шандра О.Г. Обґрунтування доцільності застосування стрілчастих залізобетонних склепінь. // Шляхи підвищення ефективності будівництва в умовах формування ринкових відносин: зб. наук. пр. Київ: КНУБА, </w:t>
            </w:r>
            <w:r w:rsidR="003D6ADA" w:rsidRPr="00434ED5">
              <w:rPr>
                <w:rFonts w:ascii="Times New Roman" w:hAnsi="Times New Roman"/>
                <w:sz w:val="24"/>
                <w:szCs w:val="24"/>
                <w:lang w:val="uk-UA"/>
              </w:rPr>
              <w:t>2024.</w:t>
            </w:r>
            <w:r w:rsidR="003D6ADA" w:rsidRPr="003D6ADA">
              <w:rPr>
                <w:rFonts w:ascii="Times New Roman" w:hAnsi="Times New Roman"/>
                <w:sz w:val="24"/>
                <w:szCs w:val="24"/>
                <w:lang w:val="uk-UA"/>
              </w:rPr>
              <w:t xml:space="preserve"> (53)1, С.</w:t>
            </w:r>
            <w:r w:rsidR="003D6ADA" w:rsidRPr="00434ED5">
              <w:rPr>
                <w:rFonts w:ascii="Times New Roman" w:hAnsi="Times New Roman"/>
                <w:sz w:val="24"/>
                <w:szCs w:val="24"/>
                <w:lang w:val="uk-UA"/>
              </w:rPr>
              <w:t xml:space="preserve"> 49-56. DOI: </w:t>
            </w:r>
            <w:hyperlink r:id="rId13" w:history="1">
              <w:r w:rsidR="00434ED5" w:rsidRPr="00E82011">
                <w:rPr>
                  <w:rStyle w:val="a3"/>
                  <w:sz w:val="24"/>
                  <w:szCs w:val="24"/>
                  <w:lang w:val="uk-UA"/>
                </w:rPr>
                <w:t>https://doi.org/10.32347/2707-501x.2024.53(1)</w:t>
              </w:r>
            </w:hyperlink>
            <w:r w:rsidR="00753220">
              <w:rPr>
                <w:rStyle w:val="a3"/>
                <w:sz w:val="24"/>
                <w:szCs w:val="24"/>
                <w:lang w:val="uk-UA"/>
              </w:rPr>
              <w:t xml:space="preserve"> </w:t>
            </w:r>
          </w:p>
          <w:p w14:paraId="0CDF4478" w14:textId="433E8F98" w:rsidR="00753220" w:rsidRPr="00753220" w:rsidRDefault="00753220" w:rsidP="00247FCA">
            <w:pPr>
              <w:tabs>
                <w:tab w:val="left" w:pos="5040"/>
                <w:tab w:val="left" w:pos="11340"/>
              </w:tabs>
              <w:spacing w:after="0" w:line="240" w:lineRule="auto"/>
              <w:jc w:val="both"/>
              <w:rPr>
                <w:sz w:val="24"/>
                <w:szCs w:val="24"/>
                <w:lang w:val="uk-UA"/>
              </w:rPr>
            </w:pPr>
            <w:r w:rsidRPr="00753220">
              <w:rPr>
                <w:rStyle w:val="a3"/>
                <w:color w:val="auto"/>
                <w:u w:val="none"/>
                <w:lang w:val="uk-UA"/>
              </w:rPr>
              <w:t>(Фахове видання)</w:t>
            </w:r>
          </w:p>
          <w:p w14:paraId="0667F74F" w14:textId="2A3C7504" w:rsidR="00434ED5" w:rsidRPr="006B6969" w:rsidRDefault="00434ED5" w:rsidP="00247FCA">
            <w:pPr>
              <w:tabs>
                <w:tab w:val="left" w:pos="5040"/>
                <w:tab w:val="left" w:pos="11340"/>
              </w:tabs>
              <w:spacing w:after="0" w:line="240" w:lineRule="auto"/>
              <w:jc w:val="both"/>
              <w:rPr>
                <w:rFonts w:ascii="Times New Roman" w:hAnsi="Times New Roman"/>
                <w:sz w:val="24"/>
                <w:szCs w:val="24"/>
              </w:rPr>
            </w:pPr>
            <w:r>
              <w:rPr>
                <w:sz w:val="24"/>
                <w:szCs w:val="24"/>
                <w:lang w:val="uk-UA"/>
              </w:rPr>
              <w:t xml:space="preserve"> </w:t>
            </w:r>
            <w:r w:rsidRPr="00434ED5">
              <w:rPr>
                <w:rFonts w:ascii="Times New Roman" w:hAnsi="Times New Roman"/>
                <w:sz w:val="24"/>
                <w:szCs w:val="24"/>
                <w:lang w:val="uk-UA"/>
              </w:rPr>
              <w:t>8.</w:t>
            </w:r>
            <w:r w:rsidRPr="00A0675D">
              <w:rPr>
                <w:rFonts w:ascii="Times New Roman" w:hAnsi="Times New Roman"/>
                <w:sz w:val="24"/>
                <w:szCs w:val="24"/>
                <w:lang w:val="uk-UA"/>
              </w:rPr>
              <w:t xml:space="preserve"> </w:t>
            </w:r>
            <w:r w:rsidRPr="00434ED5">
              <w:rPr>
                <w:rFonts w:ascii="Times New Roman" w:hAnsi="Times New Roman"/>
                <w:sz w:val="24"/>
                <w:szCs w:val="24"/>
                <w:lang w:val="uk-UA"/>
              </w:rPr>
              <w:t xml:space="preserve"> Рашківський, В., &amp; Шандра, О. (2025). DETERMINING THE DEGREE OF ADAPTABILITY OF MODERN LABOR COST TO INNOVATIVE CONSTRUCTIVE AND TECHNOLOGICAL SOLUTIONS OF FRAME CONSTRUCTION. SWorldJournal, 1(29-01), 84–97. </w:t>
            </w:r>
            <w:r w:rsidR="00753220">
              <w:rPr>
                <w:rFonts w:ascii="Times New Roman" w:hAnsi="Times New Roman"/>
                <w:sz w:val="24"/>
                <w:szCs w:val="24"/>
                <w:lang w:val="en-US"/>
              </w:rPr>
              <w:t>DOI</w:t>
            </w:r>
            <w:r w:rsidR="00753220" w:rsidRPr="006B6969">
              <w:rPr>
                <w:rFonts w:ascii="Times New Roman" w:hAnsi="Times New Roman"/>
                <w:sz w:val="24"/>
                <w:szCs w:val="24"/>
              </w:rPr>
              <w:t>:</w:t>
            </w:r>
          </w:p>
          <w:p w14:paraId="4A7FADF4" w14:textId="77777777" w:rsidR="006B6969" w:rsidRDefault="00A05355" w:rsidP="00247FCA">
            <w:pPr>
              <w:tabs>
                <w:tab w:val="left" w:pos="5040"/>
                <w:tab w:val="left" w:pos="11340"/>
              </w:tabs>
              <w:spacing w:after="0" w:line="240" w:lineRule="auto"/>
              <w:jc w:val="both"/>
              <w:rPr>
                <w:rStyle w:val="a3"/>
                <w:rFonts w:ascii="Times New Roman" w:hAnsi="Times New Roman"/>
                <w:sz w:val="24"/>
                <w:szCs w:val="24"/>
              </w:rPr>
            </w:pPr>
            <w:hyperlink r:id="rId14" w:history="1">
              <w:r w:rsidR="00434ED5" w:rsidRPr="00E82011">
                <w:rPr>
                  <w:rStyle w:val="a3"/>
                  <w:rFonts w:ascii="Times New Roman" w:hAnsi="Times New Roman"/>
                  <w:sz w:val="24"/>
                  <w:szCs w:val="24"/>
                  <w:lang w:val="uk-UA"/>
                </w:rPr>
                <w:t>https://doi.org/10.30888/2663-5712.2025-29-01-043</w:t>
              </w:r>
            </w:hyperlink>
            <w:r w:rsidR="006B6969" w:rsidRPr="006B6969">
              <w:rPr>
                <w:rStyle w:val="a3"/>
                <w:rFonts w:ascii="Times New Roman" w:hAnsi="Times New Roman"/>
                <w:sz w:val="24"/>
                <w:szCs w:val="24"/>
              </w:rPr>
              <w:t xml:space="preserve"> </w:t>
            </w:r>
          </w:p>
          <w:p w14:paraId="27C3948D" w14:textId="21D6DA41" w:rsidR="00434ED5" w:rsidRPr="006B6969" w:rsidRDefault="006B6969" w:rsidP="00247FCA">
            <w:pPr>
              <w:tabs>
                <w:tab w:val="left" w:pos="5040"/>
                <w:tab w:val="left" w:pos="11340"/>
              </w:tabs>
              <w:spacing w:after="0" w:line="240" w:lineRule="auto"/>
              <w:jc w:val="both"/>
              <w:rPr>
                <w:rFonts w:ascii="Times New Roman" w:hAnsi="Times New Roman"/>
                <w:sz w:val="24"/>
                <w:szCs w:val="24"/>
              </w:rPr>
            </w:pPr>
            <w:r w:rsidRPr="006B6969">
              <w:rPr>
                <w:rFonts w:ascii="Times New Roman" w:eastAsia="Calibri" w:hAnsi="Times New Roman" w:cs="Times New Roman"/>
                <w:bCs/>
                <w:sz w:val="24"/>
                <w:szCs w:val="24"/>
                <w:lang w:val="uk-UA"/>
              </w:rPr>
              <w:t>(міжнародне наукове рецензоване видання (ISSN 2663-5712)</w:t>
            </w:r>
          </w:p>
          <w:p w14:paraId="69342268" w14:textId="5D8739DC" w:rsidR="00434ED5" w:rsidRPr="00434ED5" w:rsidRDefault="00434ED5" w:rsidP="00247FCA">
            <w:pPr>
              <w:tabs>
                <w:tab w:val="left" w:pos="5040"/>
                <w:tab w:val="left" w:pos="11340"/>
              </w:tabs>
              <w:spacing w:after="0" w:line="240" w:lineRule="auto"/>
              <w:jc w:val="both"/>
              <w:rPr>
                <w:lang w:val="uk-UA"/>
              </w:rPr>
            </w:pPr>
          </w:p>
        </w:tc>
      </w:tr>
      <w:tr w:rsidR="0065335E" w:rsidRPr="00C84368" w14:paraId="16A6D12F" w14:textId="77777777" w:rsidTr="007043D3">
        <w:tc>
          <w:tcPr>
            <w:tcW w:w="6487" w:type="dxa"/>
            <w:shd w:val="clear" w:color="auto" w:fill="auto"/>
          </w:tcPr>
          <w:p w14:paraId="2728CED1"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lastRenderedPageBreak/>
              <w:t>2)наявність одного патенту на винахід 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p>
        </w:tc>
        <w:tc>
          <w:tcPr>
            <w:tcW w:w="8505" w:type="dxa"/>
            <w:shd w:val="clear" w:color="auto" w:fill="auto"/>
          </w:tcPr>
          <w:p w14:paraId="6392ED4F" w14:textId="77777777" w:rsidR="0065335E" w:rsidRPr="00C84368" w:rsidRDefault="0065335E" w:rsidP="00A51668">
            <w:pPr>
              <w:pStyle w:val="ad"/>
              <w:spacing w:line="240" w:lineRule="auto"/>
              <w:ind w:left="360" w:firstLine="0"/>
              <w:jc w:val="both"/>
              <w:rPr>
                <w:rStyle w:val="rvts82"/>
                <w:szCs w:val="24"/>
              </w:rPr>
            </w:pPr>
          </w:p>
        </w:tc>
      </w:tr>
      <w:tr w:rsidR="0065335E" w:rsidRPr="00753220" w14:paraId="7A08EFF9" w14:textId="77777777" w:rsidTr="007043D3">
        <w:tc>
          <w:tcPr>
            <w:tcW w:w="6487" w:type="dxa"/>
            <w:shd w:val="clear" w:color="auto" w:fill="auto"/>
          </w:tcPr>
          <w:p w14:paraId="18B3B79E"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t>3)наявність виданого підручника чи навчального посібника (включаючи електронні) або монограф</w:t>
            </w:r>
            <w:r w:rsidR="008C4532">
              <w:rPr>
                <w:rFonts w:ascii="Times New Roman" w:hAnsi="Times New Roman"/>
                <w:sz w:val="24"/>
                <w:szCs w:val="24"/>
              </w:rPr>
              <w:t xml:space="preserve">ії (загальним обсягом не менше </w:t>
            </w:r>
            <w:r w:rsidRPr="00C84368">
              <w:rPr>
                <w:rFonts w:ascii="Times New Roman" w:hAnsi="Times New Roman"/>
                <w:sz w:val="24"/>
                <w:szCs w:val="24"/>
              </w:rPr>
              <w:t>5 авторських аркушів), в тому числі видані у співавторстві (обсягом не менше 1,5 авторського аркуша на кожного співавтора);</w:t>
            </w:r>
          </w:p>
        </w:tc>
        <w:tc>
          <w:tcPr>
            <w:tcW w:w="8505" w:type="dxa"/>
            <w:shd w:val="clear" w:color="auto" w:fill="auto"/>
          </w:tcPr>
          <w:p w14:paraId="0F42F566" w14:textId="1986E39C" w:rsidR="0065335E" w:rsidRDefault="00247FCA" w:rsidP="00247FCA">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A0675D">
              <w:rPr>
                <w:rStyle w:val="rvts82"/>
                <w:rFonts w:ascii="Times New Roman" w:hAnsi="Times New Roman" w:cs="Times New Roman"/>
                <w:color w:val="000000"/>
                <w:sz w:val="24"/>
                <w:szCs w:val="24"/>
                <w:bdr w:val="none" w:sz="0" w:space="0" w:color="auto" w:frame="1"/>
                <w:shd w:val="clear" w:color="auto" w:fill="FFFFFF"/>
                <w:lang w:val="uk-UA"/>
              </w:rPr>
              <w:t xml:space="preserve">Тонкачеєв Г.М. Інноваційні технології каркасного будівництва: навч. посібник / Г.М.Тонкачеєв, О.С. Молодід, В.Г. Тонкачеєв, О.Г. Шандра: під ред. проф. Г.М. Тонкачеєва Київ:Видавництво Ліра-К. 2024. 316 с. ISBN 978-617-520-904-2. </w:t>
            </w:r>
            <w:hyperlink r:id="rId15" w:history="1">
              <w:r w:rsidR="00753220" w:rsidRPr="00231937">
                <w:rPr>
                  <w:rStyle w:val="a3"/>
                  <w:rFonts w:ascii="Times New Roman" w:hAnsi="Times New Roman" w:cs="Times New Roman"/>
                  <w:sz w:val="24"/>
                  <w:szCs w:val="24"/>
                  <w:bdr w:val="none" w:sz="0" w:space="0" w:color="auto" w:frame="1"/>
                  <w:shd w:val="clear" w:color="auto" w:fill="FFFFFF"/>
                  <w:lang w:val="uk-UA"/>
                </w:rPr>
                <w:t>http://dsr.univ.kiev.ua</w:t>
              </w:r>
            </w:hyperlink>
            <w:r w:rsidRPr="00A0675D">
              <w:rPr>
                <w:rStyle w:val="rvts82"/>
                <w:rFonts w:ascii="Times New Roman" w:hAnsi="Times New Roman" w:cs="Times New Roman"/>
                <w:color w:val="000000"/>
                <w:sz w:val="24"/>
                <w:szCs w:val="24"/>
                <w:bdr w:val="none" w:sz="0" w:space="0" w:color="auto" w:frame="1"/>
                <w:shd w:val="clear" w:color="auto" w:fill="FFFFFF"/>
                <w:lang w:val="uk-UA"/>
              </w:rPr>
              <w:t>.</w:t>
            </w:r>
          </w:p>
          <w:p w14:paraId="4197DD13" w14:textId="146F5CAC" w:rsidR="00753220" w:rsidRPr="00A0675D" w:rsidRDefault="00753220" w:rsidP="00247FCA">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6F480B" w14:paraId="534338D0" w14:textId="77777777" w:rsidTr="007043D3">
        <w:tc>
          <w:tcPr>
            <w:tcW w:w="6487" w:type="dxa"/>
            <w:shd w:val="clear" w:color="auto" w:fill="auto"/>
          </w:tcPr>
          <w:p w14:paraId="43EB2E00"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t xml:space="preserve">4)наявність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w:t>
            </w:r>
            <w:r w:rsidRPr="00C84368">
              <w:rPr>
                <w:rFonts w:ascii="Times New Roman" w:hAnsi="Times New Roman"/>
                <w:sz w:val="24"/>
                <w:szCs w:val="24"/>
              </w:rPr>
              <w:lastRenderedPageBreak/>
              <w:t>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tc>
        <w:tc>
          <w:tcPr>
            <w:tcW w:w="8505" w:type="dxa"/>
            <w:shd w:val="clear" w:color="auto" w:fill="auto"/>
          </w:tcPr>
          <w:p w14:paraId="30508A4C" w14:textId="77777777" w:rsidR="0002757B" w:rsidRPr="00A0675D" w:rsidRDefault="00653BC1" w:rsidP="007372A3">
            <w:pPr>
              <w:pStyle w:val="ac"/>
              <w:ind w:left="0"/>
              <w:jc w:val="both"/>
              <w:rPr>
                <w:rStyle w:val="rvts82"/>
                <w:rFonts w:ascii="Times New Roman" w:hAnsi="Times New Roman"/>
                <w:color w:val="000000" w:themeColor="text1"/>
                <w:sz w:val="24"/>
                <w:szCs w:val="24"/>
                <w:lang w:val="uk-UA"/>
              </w:rPr>
            </w:pPr>
            <w:r w:rsidRPr="00A0675D">
              <w:rPr>
                <w:rStyle w:val="rvts82"/>
                <w:rFonts w:ascii="Times New Roman" w:hAnsi="Times New Roman"/>
                <w:color w:val="000000" w:themeColor="text1"/>
                <w:sz w:val="24"/>
                <w:szCs w:val="24"/>
                <w:lang w:val="uk-UA"/>
              </w:rPr>
              <w:lastRenderedPageBreak/>
              <w:t>1.</w:t>
            </w:r>
            <w:r w:rsidR="00247FCA" w:rsidRPr="00A0675D">
              <w:rPr>
                <w:rStyle w:val="rvts82"/>
                <w:rFonts w:ascii="Times New Roman" w:hAnsi="Times New Roman"/>
                <w:color w:val="000000" w:themeColor="text1"/>
                <w:sz w:val="24"/>
                <w:szCs w:val="24"/>
                <w:lang w:val="uk-UA"/>
              </w:rPr>
              <w:t xml:space="preserve"> </w:t>
            </w:r>
            <w:r w:rsidRPr="00A0675D">
              <w:rPr>
                <w:rStyle w:val="rvts82"/>
                <w:rFonts w:ascii="Times New Roman" w:hAnsi="Times New Roman"/>
                <w:color w:val="000000" w:themeColor="text1"/>
                <w:sz w:val="24"/>
                <w:szCs w:val="24"/>
                <w:lang w:val="uk-UA"/>
              </w:rPr>
              <w:t xml:space="preserve">Інженерно-будівельне проектування у частині технології будівельного виробництва/методичні вказівки до виконання практичних занять та до розробки </w:t>
            </w:r>
            <w:r w:rsidRPr="00A0675D">
              <w:rPr>
                <w:rStyle w:val="rvts82"/>
                <w:rFonts w:ascii="Times New Roman" w:hAnsi="Times New Roman"/>
                <w:color w:val="000000" w:themeColor="text1"/>
                <w:sz w:val="24"/>
                <w:szCs w:val="24"/>
                <w:lang w:val="uk-UA"/>
              </w:rPr>
              <w:lastRenderedPageBreak/>
              <w:t>розрахунково-графічної роботи з дисципліни спецкурс випускової кафедри. Уклад.: Г.М. Тонкачеєв, Л.С. Чебанов, О.Г. Шандра, Т.Л. Чебанов. К.:КНУБА, 2022. 44с.</w:t>
            </w:r>
          </w:p>
          <w:p w14:paraId="1CD6465A" w14:textId="77777777" w:rsidR="006B2466" w:rsidRPr="00A0675D" w:rsidRDefault="006B2466" w:rsidP="007372A3">
            <w:pPr>
              <w:pStyle w:val="ac"/>
              <w:ind w:left="0"/>
              <w:jc w:val="both"/>
              <w:rPr>
                <w:rStyle w:val="rvts82"/>
                <w:rFonts w:ascii="Times New Roman" w:hAnsi="Times New Roman"/>
                <w:color w:val="000000" w:themeColor="text1"/>
                <w:sz w:val="24"/>
                <w:szCs w:val="24"/>
                <w:lang w:val="uk-UA"/>
              </w:rPr>
            </w:pPr>
            <w:r w:rsidRPr="00A0675D">
              <w:rPr>
                <w:rStyle w:val="rvts82"/>
                <w:rFonts w:ascii="Times New Roman" w:hAnsi="Times New Roman"/>
                <w:color w:val="000000" w:themeColor="text1"/>
                <w:sz w:val="24"/>
                <w:szCs w:val="24"/>
                <w:lang w:val="uk-UA"/>
              </w:rPr>
              <w:t>2.</w:t>
            </w:r>
            <w:r w:rsidR="00247FCA" w:rsidRPr="00A0675D">
              <w:rPr>
                <w:rStyle w:val="rvts82"/>
                <w:rFonts w:ascii="Times New Roman" w:hAnsi="Times New Roman"/>
                <w:color w:val="000000" w:themeColor="text1"/>
                <w:sz w:val="24"/>
                <w:szCs w:val="24"/>
                <w:lang w:val="uk-UA"/>
              </w:rPr>
              <w:t xml:space="preserve"> </w:t>
            </w:r>
            <w:r w:rsidRPr="00A0675D">
              <w:rPr>
                <w:rStyle w:val="rvts82"/>
                <w:rFonts w:ascii="Times New Roman" w:hAnsi="Times New Roman"/>
                <w:color w:val="000000" w:themeColor="text1"/>
                <w:sz w:val="24"/>
                <w:szCs w:val="24"/>
                <w:lang w:val="uk-UA"/>
              </w:rPr>
              <w:t>Варіантне проєктування інноваційних технологій каркасного будівництва: методичні вказівки до виконання практичних занять та розробки курсової роботи з освітньої компоненти «Дисципліни спеціальної підготовки»/ Укладачі: Г.М. Тонкачеєв, К.В. Черненко, Л.А. Лепська, О.Г. Шандра. –Київ:КНУБА. 2023.78с.</w:t>
            </w:r>
          </w:p>
          <w:p w14:paraId="63559BC6" w14:textId="77777777" w:rsidR="00873E19" w:rsidRPr="00A0675D" w:rsidRDefault="00873E19" w:rsidP="007372A3">
            <w:pPr>
              <w:pStyle w:val="ac"/>
              <w:ind w:left="0"/>
              <w:jc w:val="both"/>
              <w:rPr>
                <w:rStyle w:val="rvts82"/>
                <w:rFonts w:ascii="Times New Roman" w:hAnsi="Times New Roman"/>
                <w:color w:val="000000" w:themeColor="text1"/>
                <w:sz w:val="24"/>
                <w:szCs w:val="24"/>
                <w:lang w:val="uk-UA"/>
              </w:rPr>
            </w:pPr>
            <w:r w:rsidRPr="00A0675D">
              <w:rPr>
                <w:rStyle w:val="rvts82"/>
                <w:rFonts w:ascii="Times New Roman" w:hAnsi="Times New Roman"/>
                <w:color w:val="000000" w:themeColor="text1"/>
                <w:sz w:val="24"/>
                <w:szCs w:val="24"/>
                <w:lang w:val="uk-UA"/>
              </w:rPr>
              <w:t>3.</w:t>
            </w:r>
            <w:r w:rsidR="00247FCA" w:rsidRPr="00A0675D">
              <w:rPr>
                <w:rStyle w:val="rvts82"/>
                <w:rFonts w:ascii="Times New Roman" w:hAnsi="Times New Roman"/>
                <w:color w:val="000000" w:themeColor="text1"/>
                <w:sz w:val="24"/>
                <w:szCs w:val="24"/>
                <w:lang w:val="uk-UA"/>
              </w:rPr>
              <w:t xml:space="preserve"> </w:t>
            </w:r>
            <w:r w:rsidRPr="00A0675D">
              <w:rPr>
                <w:rStyle w:val="rvts82"/>
                <w:rFonts w:ascii="Times New Roman" w:hAnsi="Times New Roman"/>
                <w:color w:val="000000" w:themeColor="text1"/>
                <w:sz w:val="24"/>
                <w:szCs w:val="24"/>
                <w:lang w:val="uk-UA"/>
              </w:rPr>
              <w:t>Проектування технології підсилення рам каркасних будівель: методичні вказівки / Укладачі: Г.М. Тонкачеєв, Д.О. Хохрякова, І.М. Руднєва, О.Г. Шандра. 2023. 32 с.</w:t>
            </w:r>
          </w:p>
          <w:p w14:paraId="6645D3CB" w14:textId="77777777" w:rsidR="006B1402" w:rsidRPr="00A0675D" w:rsidRDefault="006B1402" w:rsidP="007372A3">
            <w:pPr>
              <w:pStyle w:val="ac"/>
              <w:ind w:left="0"/>
              <w:jc w:val="both"/>
              <w:rPr>
                <w:rStyle w:val="rvts82"/>
                <w:rFonts w:ascii="Times New Roman" w:hAnsi="Times New Roman"/>
                <w:color w:val="000000" w:themeColor="text1"/>
                <w:sz w:val="24"/>
                <w:szCs w:val="24"/>
                <w:lang w:val="uk-UA"/>
              </w:rPr>
            </w:pPr>
            <w:r w:rsidRPr="00A0675D">
              <w:rPr>
                <w:rStyle w:val="rvts82"/>
                <w:rFonts w:ascii="Times New Roman" w:hAnsi="Times New Roman"/>
                <w:color w:val="000000" w:themeColor="text1"/>
                <w:sz w:val="24"/>
                <w:szCs w:val="24"/>
                <w:lang w:val="uk-UA"/>
              </w:rPr>
              <w:t>4.</w:t>
            </w:r>
            <w:r w:rsidR="00247FCA" w:rsidRPr="00A0675D">
              <w:rPr>
                <w:rStyle w:val="rvts82"/>
                <w:rFonts w:ascii="Times New Roman" w:hAnsi="Times New Roman"/>
                <w:color w:val="000000" w:themeColor="text1"/>
                <w:sz w:val="24"/>
                <w:szCs w:val="24"/>
                <w:lang w:val="uk-UA"/>
              </w:rPr>
              <w:t xml:space="preserve"> </w:t>
            </w:r>
            <w:r w:rsidRPr="00A0675D">
              <w:rPr>
                <w:rStyle w:val="rvts82"/>
                <w:rFonts w:ascii="Times New Roman" w:hAnsi="Times New Roman"/>
                <w:color w:val="000000" w:themeColor="text1"/>
                <w:sz w:val="24"/>
                <w:szCs w:val="24"/>
                <w:lang w:val="uk-UA"/>
              </w:rPr>
              <w:t>Технологія улаштування фундаменту каркасного будинку: методичні вказівки / Автор. кол: Г.М. Тонкачеєв, Л.А. Лепська, О.Г. Шандра. Київ: Видавництво Ліра-К, 2024. 28 с. ISBN 978-617-520-769-7 http://dsr.univ.kiev.ua.    1,7 др.арк</w:t>
            </w:r>
          </w:p>
          <w:p w14:paraId="689F53B0" w14:textId="05B78FFB" w:rsidR="003D6ADA" w:rsidRPr="00A0675D" w:rsidRDefault="006B1402" w:rsidP="003D6ADA">
            <w:pPr>
              <w:spacing w:after="0" w:line="240" w:lineRule="auto"/>
              <w:jc w:val="both"/>
              <w:rPr>
                <w:rFonts w:ascii="Times New Roman" w:eastAsia="Calibri" w:hAnsi="Times New Roman" w:cs="Times New Roman"/>
                <w:color w:val="0000FF"/>
                <w:sz w:val="24"/>
                <w:szCs w:val="24"/>
                <w:u w:val="single"/>
                <w:lang w:eastAsia="en-US"/>
              </w:rPr>
            </w:pPr>
            <w:r w:rsidRPr="00A0675D">
              <w:rPr>
                <w:rStyle w:val="rvts82"/>
                <w:rFonts w:ascii="Times New Roman" w:hAnsi="Times New Roman"/>
                <w:color w:val="000000" w:themeColor="text1"/>
                <w:sz w:val="24"/>
                <w:szCs w:val="24"/>
                <w:lang w:val="uk-UA"/>
              </w:rPr>
              <w:t>5.</w:t>
            </w:r>
            <w:r w:rsidR="00247FCA" w:rsidRPr="00A0675D">
              <w:rPr>
                <w:rStyle w:val="rvts82"/>
                <w:rFonts w:ascii="Times New Roman" w:hAnsi="Times New Roman"/>
                <w:color w:val="000000" w:themeColor="text1"/>
                <w:sz w:val="24"/>
                <w:szCs w:val="24"/>
                <w:lang w:val="uk-UA"/>
              </w:rPr>
              <w:t xml:space="preserve"> </w:t>
            </w:r>
            <w:r w:rsidR="003D6ADA" w:rsidRPr="00A0675D">
              <w:rPr>
                <w:rFonts w:ascii="Times New Roman" w:eastAsia="Calibri" w:hAnsi="Times New Roman" w:cs="Times New Roman"/>
                <w:sz w:val="24"/>
                <w:szCs w:val="24"/>
                <w:lang w:val="uk-UA" w:eastAsia="en-US"/>
              </w:rPr>
              <w:t xml:space="preserve"> Проектування технології улаштування фундаментів каркасних будинків: методичні вказівки / Автор. кол.: Г.М. Тонкачеєв, Л.А. Лепська, О.Г. Шандра. Київ: Видавництво Ліра-К, </w:t>
            </w:r>
            <w:r w:rsidR="003D6ADA" w:rsidRPr="00A0675D">
              <w:rPr>
                <w:rFonts w:ascii="Times New Roman" w:eastAsia="Calibri" w:hAnsi="Times New Roman" w:cs="Times New Roman"/>
                <w:b/>
                <w:sz w:val="24"/>
                <w:szCs w:val="24"/>
                <w:lang w:val="uk-UA" w:eastAsia="en-US"/>
              </w:rPr>
              <w:t>2023</w:t>
            </w:r>
            <w:r w:rsidR="003D6ADA" w:rsidRPr="00A0675D">
              <w:rPr>
                <w:rFonts w:ascii="Times New Roman" w:eastAsia="Calibri" w:hAnsi="Times New Roman" w:cs="Times New Roman"/>
                <w:sz w:val="24"/>
                <w:szCs w:val="24"/>
                <w:lang w:val="uk-UA" w:eastAsia="en-US"/>
              </w:rPr>
              <w:t xml:space="preserve">. 62 с. ISBN 978-617-520-769-7 </w:t>
            </w:r>
            <w:hyperlink r:id="rId16" w:history="1">
              <w:r w:rsidR="003D6ADA" w:rsidRPr="00A0675D">
                <w:rPr>
                  <w:rFonts w:ascii="Times New Roman" w:eastAsia="Calibri" w:hAnsi="Times New Roman" w:cs="Times New Roman"/>
                  <w:color w:val="0000FF"/>
                  <w:sz w:val="24"/>
                  <w:szCs w:val="24"/>
                  <w:u w:val="single"/>
                  <w:lang w:val="uk-UA" w:eastAsia="en-US"/>
                </w:rPr>
                <w:t>http://dsr.univ.kiev.ua</w:t>
              </w:r>
            </w:hyperlink>
            <w:r w:rsidR="003D6ADA" w:rsidRPr="00A0675D">
              <w:rPr>
                <w:rFonts w:ascii="Times New Roman" w:eastAsia="Calibri" w:hAnsi="Times New Roman" w:cs="Times New Roman"/>
                <w:color w:val="0000FF"/>
                <w:sz w:val="24"/>
                <w:szCs w:val="24"/>
                <w:u w:val="single"/>
                <w:lang w:eastAsia="en-US"/>
              </w:rPr>
              <w:t xml:space="preserve"> </w:t>
            </w:r>
          </w:p>
          <w:p w14:paraId="1FDAFCEC" w14:textId="6373B2CD" w:rsidR="006B1402" w:rsidRPr="00A0675D" w:rsidRDefault="006B1402" w:rsidP="007372A3">
            <w:pPr>
              <w:pStyle w:val="ac"/>
              <w:ind w:left="0"/>
              <w:jc w:val="both"/>
              <w:rPr>
                <w:rStyle w:val="rvts82"/>
                <w:rFonts w:ascii="Times New Roman" w:hAnsi="Times New Roman"/>
                <w:color w:val="000000" w:themeColor="text1"/>
                <w:sz w:val="24"/>
                <w:szCs w:val="24"/>
                <w:lang w:val="uk-UA"/>
              </w:rPr>
            </w:pPr>
            <w:r w:rsidRPr="00A0675D">
              <w:rPr>
                <w:rStyle w:val="rvts82"/>
                <w:rFonts w:ascii="Times New Roman" w:hAnsi="Times New Roman"/>
                <w:color w:val="000000" w:themeColor="text1"/>
                <w:sz w:val="24"/>
                <w:szCs w:val="24"/>
                <w:lang w:val="uk-UA"/>
              </w:rPr>
              <w:t xml:space="preserve">   3,6 др.арк.</w:t>
            </w:r>
          </w:p>
          <w:p w14:paraId="2F25ABF9" w14:textId="77777777" w:rsidR="006B1402" w:rsidRPr="00A0675D" w:rsidRDefault="006B1402" w:rsidP="007372A3">
            <w:pPr>
              <w:pStyle w:val="ac"/>
              <w:ind w:left="0"/>
              <w:jc w:val="both"/>
              <w:rPr>
                <w:rStyle w:val="rvts82"/>
                <w:rFonts w:ascii="Times New Roman" w:hAnsi="Times New Roman"/>
                <w:color w:val="000000" w:themeColor="text1"/>
                <w:sz w:val="24"/>
                <w:szCs w:val="24"/>
                <w:lang w:val="uk-UA"/>
              </w:rPr>
            </w:pPr>
          </w:p>
        </w:tc>
      </w:tr>
      <w:tr w:rsidR="0065335E" w:rsidRPr="006B1402" w14:paraId="2BD01D7A" w14:textId="77777777" w:rsidTr="007043D3">
        <w:tc>
          <w:tcPr>
            <w:tcW w:w="6487" w:type="dxa"/>
            <w:shd w:val="clear" w:color="auto" w:fill="auto"/>
          </w:tcPr>
          <w:p w14:paraId="54E756BB"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lastRenderedPageBreak/>
              <w:t>5)захист дисертації на здобуття наукового ступеня;</w:t>
            </w:r>
          </w:p>
        </w:tc>
        <w:tc>
          <w:tcPr>
            <w:tcW w:w="8505" w:type="dxa"/>
            <w:shd w:val="clear" w:color="auto" w:fill="auto"/>
          </w:tcPr>
          <w:p w14:paraId="49F73599" w14:textId="77777777" w:rsidR="0065335E" w:rsidRPr="00C84368" w:rsidRDefault="0065335E" w:rsidP="007043D3">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p>
        </w:tc>
      </w:tr>
      <w:tr w:rsidR="0065335E" w:rsidRPr="00C84368" w14:paraId="5799CEB0" w14:textId="77777777" w:rsidTr="007043D3">
        <w:tc>
          <w:tcPr>
            <w:tcW w:w="6487" w:type="dxa"/>
            <w:shd w:val="clear" w:color="auto" w:fill="auto"/>
          </w:tcPr>
          <w:p w14:paraId="6A07A490"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t>6)наукове керівництво (консультування) здобувача, який одержав документ про присудження наукового ступеня;</w:t>
            </w:r>
          </w:p>
        </w:tc>
        <w:tc>
          <w:tcPr>
            <w:tcW w:w="8505" w:type="dxa"/>
            <w:shd w:val="clear" w:color="auto" w:fill="auto"/>
          </w:tcPr>
          <w:p w14:paraId="424120F2" w14:textId="77777777" w:rsidR="0065335E" w:rsidRPr="00C84368" w:rsidRDefault="0065335E" w:rsidP="007043D3">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p>
        </w:tc>
      </w:tr>
      <w:tr w:rsidR="0065335E" w:rsidRPr="00C84368" w14:paraId="03DE8633" w14:textId="77777777" w:rsidTr="007043D3">
        <w:tc>
          <w:tcPr>
            <w:tcW w:w="6487" w:type="dxa"/>
            <w:shd w:val="clear" w:color="auto" w:fill="auto"/>
          </w:tcPr>
          <w:p w14:paraId="429B098F" w14:textId="77777777" w:rsidR="0065335E" w:rsidRPr="00C84368" w:rsidRDefault="0065335E" w:rsidP="007043D3">
            <w:pPr>
              <w:pStyle w:val="a9"/>
              <w:widowControl w:val="0"/>
              <w:spacing w:before="100" w:line="228" w:lineRule="auto"/>
              <w:rPr>
                <w:rFonts w:ascii="Times New Roman" w:hAnsi="Times New Roman"/>
                <w:sz w:val="24"/>
                <w:szCs w:val="24"/>
              </w:rPr>
            </w:pPr>
            <w:r w:rsidRPr="00C84368">
              <w:rPr>
                <w:rFonts w:ascii="Times New Roman" w:hAnsi="Times New Roman"/>
                <w:sz w:val="24"/>
                <w:szCs w:val="24"/>
              </w:rPr>
              <w:t>7)участь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tc>
        <w:tc>
          <w:tcPr>
            <w:tcW w:w="8505" w:type="dxa"/>
            <w:shd w:val="clear" w:color="auto" w:fill="auto"/>
          </w:tcPr>
          <w:p w14:paraId="50CA81B3"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C84368" w14:paraId="2D9A0301" w14:textId="77777777" w:rsidTr="007043D3">
        <w:tc>
          <w:tcPr>
            <w:tcW w:w="6487" w:type="dxa"/>
            <w:shd w:val="clear" w:color="auto" w:fill="auto"/>
          </w:tcPr>
          <w:p w14:paraId="0ACF01A9"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 xml:space="preserve">8)виконання функцій (повноважень, обов’язків) </w:t>
            </w:r>
            <w:r w:rsidRPr="00C84368">
              <w:rPr>
                <w:rFonts w:ascii="Times New Roman" w:hAnsi="Times New Roman"/>
                <w:sz w:val="24"/>
                <w:szCs w:val="24"/>
              </w:rPr>
              <w:lastRenderedPageBreak/>
              <w:t>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8505" w:type="dxa"/>
            <w:shd w:val="clear" w:color="auto" w:fill="auto"/>
          </w:tcPr>
          <w:p w14:paraId="427F6D89" w14:textId="77777777" w:rsidR="0065335E" w:rsidRPr="00C84368" w:rsidRDefault="0065335E" w:rsidP="00C35AE0">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C84368" w14:paraId="55F0175B" w14:textId="77777777" w:rsidTr="007043D3">
        <w:tc>
          <w:tcPr>
            <w:tcW w:w="6487" w:type="dxa"/>
            <w:shd w:val="clear" w:color="auto" w:fill="auto"/>
          </w:tcPr>
          <w:p w14:paraId="0871F5DD"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lastRenderedPageBreak/>
              <w:t>9)робота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8505" w:type="dxa"/>
            <w:shd w:val="clear" w:color="auto" w:fill="auto"/>
          </w:tcPr>
          <w:p w14:paraId="16F1D11E"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6B1402" w14:paraId="179B52EF" w14:textId="77777777" w:rsidTr="007043D3">
        <w:tc>
          <w:tcPr>
            <w:tcW w:w="6487" w:type="dxa"/>
            <w:shd w:val="clear" w:color="auto" w:fill="auto"/>
          </w:tcPr>
          <w:p w14:paraId="76BCE562"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10)участь у міжнародних наукових та/або освітніх проектах, залучення до міжнародної експертизи, наявність звання “суддя міжнародної категорії”;</w:t>
            </w:r>
          </w:p>
        </w:tc>
        <w:tc>
          <w:tcPr>
            <w:tcW w:w="8505" w:type="dxa"/>
            <w:shd w:val="clear" w:color="auto" w:fill="auto"/>
          </w:tcPr>
          <w:p w14:paraId="47B8CCF3" w14:textId="77777777" w:rsidR="0065335E" w:rsidRPr="006B1402" w:rsidRDefault="0065335E" w:rsidP="000B2EE6">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6B1402" w14:paraId="0B906881" w14:textId="77777777" w:rsidTr="007043D3">
        <w:tc>
          <w:tcPr>
            <w:tcW w:w="6487" w:type="dxa"/>
            <w:shd w:val="clear" w:color="auto" w:fill="auto"/>
          </w:tcPr>
          <w:p w14:paraId="3CC94755"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11)наукове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tc>
        <w:tc>
          <w:tcPr>
            <w:tcW w:w="8505" w:type="dxa"/>
            <w:shd w:val="clear" w:color="auto" w:fill="auto"/>
          </w:tcPr>
          <w:p w14:paraId="10C25DAD"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753220" w14:paraId="7169AFFD" w14:textId="77777777" w:rsidTr="007043D3">
        <w:tc>
          <w:tcPr>
            <w:tcW w:w="6487" w:type="dxa"/>
            <w:shd w:val="clear" w:color="auto" w:fill="auto"/>
          </w:tcPr>
          <w:p w14:paraId="3E05C83F"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12)наявність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tc>
        <w:tc>
          <w:tcPr>
            <w:tcW w:w="8505" w:type="dxa"/>
            <w:shd w:val="clear" w:color="auto" w:fill="auto"/>
          </w:tcPr>
          <w:p w14:paraId="65738CC0" w14:textId="7CCB2DC1" w:rsidR="00363DA0" w:rsidRDefault="00A0675D" w:rsidP="00A0675D">
            <w:pPr>
              <w:spacing w:after="0" w:line="240" w:lineRule="auto"/>
              <w:jc w:val="both"/>
              <w:rPr>
                <w:rFonts w:ascii="Segoe UI" w:hAnsi="Segoe UI" w:cs="Segoe UI"/>
                <w:color w:val="212529"/>
                <w:shd w:val="clear" w:color="auto" w:fill="FFFFFF"/>
                <w:lang w:val="uk-UA"/>
              </w:rPr>
            </w:pPr>
            <w:r>
              <w:rPr>
                <w:rFonts w:ascii="Segoe UI" w:hAnsi="Segoe UI" w:cs="Segoe UI"/>
                <w:color w:val="212529"/>
                <w:shd w:val="clear" w:color="auto" w:fill="FFFFFF"/>
                <w:lang w:val="uk-UA"/>
              </w:rPr>
              <w:t xml:space="preserve">1. </w:t>
            </w:r>
            <w:r w:rsidR="007D0F38" w:rsidRPr="00A0675D">
              <w:rPr>
                <w:rFonts w:ascii="Segoe UI" w:hAnsi="Segoe UI" w:cs="Segoe UI"/>
                <w:color w:val="212529"/>
                <w:shd w:val="clear" w:color="auto" w:fill="FFFFFF"/>
                <w:lang w:val="uk-UA"/>
              </w:rPr>
              <w:t>Тонкачеєв Г.М., Шандра О.Г. Система аналітичного визначення стандартів часу на виконання будівельних процесів //Програма та тези доповідей. Міжнародний науково-технічний форум “Архітектура та будівництво: Відновлення України. Наука, технологія, практика” – Київ: Видавництво Ліра-К, 2022</w:t>
            </w:r>
            <w:r w:rsidR="00753220">
              <w:rPr>
                <w:rFonts w:ascii="Segoe UI" w:hAnsi="Segoe UI" w:cs="Segoe UI"/>
                <w:color w:val="212529"/>
                <w:shd w:val="clear" w:color="auto" w:fill="FFFFFF"/>
                <w:lang w:val="uk-UA"/>
              </w:rPr>
              <w:t>.</w:t>
            </w:r>
            <w:r w:rsidR="00753220" w:rsidRPr="00753220">
              <w:rPr>
                <w:rFonts w:ascii="Segoe UI" w:hAnsi="Segoe UI" w:cs="Segoe UI"/>
                <w:color w:val="212529"/>
                <w:shd w:val="clear" w:color="auto" w:fill="FFFFFF"/>
                <w:lang w:val="uk-UA"/>
              </w:rPr>
              <w:t xml:space="preserve"> </w:t>
            </w:r>
            <w:hyperlink r:id="rId17" w:history="1">
              <w:r w:rsidR="00753220" w:rsidRPr="00231937">
                <w:rPr>
                  <w:rStyle w:val="a3"/>
                  <w:rFonts w:ascii="Segoe UI" w:hAnsi="Segoe UI" w:cs="Segoe UI"/>
                  <w:shd w:val="clear" w:color="auto" w:fill="FFFFFF"/>
                  <w:lang w:val="uk-UA"/>
                </w:rPr>
                <w:t>https://drive.google.com/file/d/1wTI3H3JgKMF6tug3_S9Dwjl1vrwFedCJ/view</w:t>
              </w:r>
            </w:hyperlink>
          </w:p>
          <w:p w14:paraId="167CAD48" w14:textId="77777777" w:rsidR="00753220" w:rsidRPr="00A0675D" w:rsidRDefault="00753220" w:rsidP="00A0675D">
            <w:pPr>
              <w:spacing w:after="0" w:line="240" w:lineRule="auto"/>
              <w:jc w:val="both"/>
              <w:rPr>
                <w:rFonts w:ascii="Segoe UI" w:hAnsi="Segoe UI" w:cs="Segoe UI"/>
                <w:color w:val="212529"/>
                <w:shd w:val="clear" w:color="auto" w:fill="FFFFFF"/>
              </w:rPr>
            </w:pPr>
          </w:p>
          <w:p w14:paraId="1CEB97D7" w14:textId="77777777" w:rsidR="00A0675D" w:rsidRPr="00A0675D" w:rsidRDefault="00A0675D" w:rsidP="00A0675D">
            <w:pPr>
              <w:spacing w:after="0" w:line="240" w:lineRule="auto"/>
              <w:jc w:val="both"/>
              <w:rPr>
                <w:rFonts w:ascii="Segoe UI" w:hAnsi="Segoe UI" w:cs="Segoe UI"/>
                <w:color w:val="212529"/>
                <w:shd w:val="clear" w:color="auto" w:fill="FFFFFF"/>
                <w:lang w:val="uk-UA"/>
              </w:rPr>
            </w:pPr>
            <w:r w:rsidRPr="00A0675D">
              <w:rPr>
                <w:rFonts w:ascii="Segoe UI" w:hAnsi="Segoe UI" w:cs="Segoe UI"/>
                <w:color w:val="212529"/>
                <w:shd w:val="clear" w:color="auto" w:fill="FFFFFF"/>
              </w:rPr>
              <w:lastRenderedPageBreak/>
              <w:t xml:space="preserve">2. </w:t>
            </w:r>
            <w:r w:rsidRPr="00A0675D">
              <w:rPr>
                <w:rFonts w:ascii="Segoe UI" w:hAnsi="Segoe UI" w:cs="Segoe UI"/>
                <w:color w:val="212529"/>
                <w:shd w:val="clear" w:color="auto" w:fill="FFFFFF"/>
                <w:lang w:val="uk-UA"/>
              </w:rPr>
              <w:t>Шандра О.Г. Проблема визначення трудомісткості процесів, у яких задіяна будівельна оснастка // Програма та тези доповідей. Архітектура, Дизайн та Будівництво: Інноваційні технології: Міжнародний науково-технічний форум (15-16 листопада 2023 р., м. Київ). – Київ: Видавництво Ліра-К, 2023.</w:t>
            </w:r>
          </w:p>
          <w:p w14:paraId="152CD0C6" w14:textId="35C07B20" w:rsidR="00A0675D" w:rsidRPr="00753220" w:rsidRDefault="00A0675D" w:rsidP="00A0675D">
            <w:pPr>
              <w:spacing w:after="0" w:line="240" w:lineRule="auto"/>
              <w:jc w:val="both"/>
              <w:rPr>
                <w:rFonts w:ascii="Segoe UI" w:hAnsi="Segoe UI" w:cs="Segoe UI"/>
                <w:color w:val="212529"/>
                <w:shd w:val="clear" w:color="auto" w:fill="FFFFFF"/>
                <w:lang w:val="uk-UA"/>
              </w:rPr>
            </w:pPr>
            <w:r w:rsidRPr="00A0675D">
              <w:rPr>
                <w:rFonts w:ascii="Segoe UI" w:hAnsi="Segoe UI" w:cs="Segoe UI"/>
                <w:color w:val="212529"/>
                <w:shd w:val="clear" w:color="auto" w:fill="FFFFFF"/>
                <w:lang w:val="uk-UA"/>
              </w:rPr>
              <w:t>3. Шандра О.Г., Руденко М.В. Основні положення критики традиційної системи освіти з позиції радикального фемінізму. // Актуальні проблеми психологічної та соціальної адаптації в умовах кризового суспільства: Збірник матеріалів ІХ Міжнародної науково-практичної конференції, м. Ірпінь, 25-29 квітня 2024 року. – Ірпінь: Державний податковий університет, 2024</w:t>
            </w:r>
            <w:r w:rsidR="00753220">
              <w:rPr>
                <w:rFonts w:ascii="Segoe UI" w:hAnsi="Segoe UI" w:cs="Segoe UI"/>
                <w:color w:val="212529"/>
                <w:shd w:val="clear" w:color="auto" w:fill="FFFFFF"/>
                <w:lang w:val="uk-UA"/>
              </w:rPr>
              <w:t>. С. 322-325.</w:t>
            </w:r>
            <w:r w:rsidRPr="00A0675D">
              <w:rPr>
                <w:rFonts w:ascii="Segoe UI" w:hAnsi="Segoe UI" w:cs="Segoe UI"/>
                <w:color w:val="212529"/>
                <w:shd w:val="clear" w:color="auto" w:fill="FFFFFF"/>
                <w:lang w:val="uk-UA"/>
              </w:rPr>
              <w:t xml:space="preserve"> </w:t>
            </w:r>
            <w:hyperlink r:id="rId18" w:history="1">
              <w:r w:rsidRPr="00A0675D">
                <w:rPr>
                  <w:rStyle w:val="a3"/>
                  <w:rFonts w:ascii="Segoe UI" w:hAnsi="Segoe UI" w:cs="Segoe UI"/>
                  <w:shd w:val="clear" w:color="auto" w:fill="FFFFFF"/>
                  <w:lang w:val="en-US"/>
                </w:rPr>
                <w:t>https</w:t>
              </w:r>
            </w:hyperlink>
            <w:hyperlink r:id="rId19" w:history="1">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repositary</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knuba</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edu</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ua</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server</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api</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core</w:t>
              </w:r>
              <w:r w:rsidRPr="00753220">
                <w:rPr>
                  <w:rStyle w:val="a3"/>
                  <w:rFonts w:ascii="Segoe UI" w:hAnsi="Segoe UI" w:cs="Segoe UI"/>
                  <w:shd w:val="clear" w:color="auto" w:fill="FFFFFF"/>
                  <w:lang w:val="uk-UA"/>
                </w:rPr>
                <w:t>/</w:t>
              </w:r>
              <w:r w:rsidRPr="00A0675D">
                <w:rPr>
                  <w:rStyle w:val="a3"/>
                  <w:rFonts w:ascii="Segoe UI" w:hAnsi="Segoe UI" w:cs="Segoe UI"/>
                  <w:shd w:val="clear" w:color="auto" w:fill="FFFFFF"/>
                  <w:lang w:val="en-US"/>
                </w:rPr>
                <w:t>bitstreams</w:t>
              </w:r>
              <w:r w:rsidRPr="00753220">
                <w:rPr>
                  <w:rStyle w:val="a3"/>
                  <w:rFonts w:ascii="Segoe UI" w:hAnsi="Segoe UI" w:cs="Segoe UI"/>
                  <w:shd w:val="clear" w:color="auto" w:fill="FFFFFF"/>
                  <w:lang w:val="uk-UA"/>
                </w:rPr>
                <w:t>/74278</w:t>
              </w:r>
              <w:r w:rsidRPr="00A0675D">
                <w:rPr>
                  <w:rStyle w:val="a3"/>
                  <w:rFonts w:ascii="Segoe UI" w:hAnsi="Segoe UI" w:cs="Segoe UI"/>
                  <w:shd w:val="clear" w:color="auto" w:fill="FFFFFF"/>
                  <w:lang w:val="en-US"/>
                </w:rPr>
                <w:t>b</w:t>
              </w:r>
              <w:r w:rsidRPr="00753220">
                <w:rPr>
                  <w:rStyle w:val="a3"/>
                  <w:rFonts w:ascii="Segoe UI" w:hAnsi="Segoe UI" w:cs="Segoe UI"/>
                  <w:shd w:val="clear" w:color="auto" w:fill="FFFFFF"/>
                  <w:lang w:val="uk-UA"/>
                </w:rPr>
                <w:t>87-</w:t>
              </w:r>
              <w:r w:rsidRPr="00A0675D">
                <w:rPr>
                  <w:rStyle w:val="a3"/>
                  <w:rFonts w:ascii="Segoe UI" w:hAnsi="Segoe UI" w:cs="Segoe UI"/>
                  <w:shd w:val="clear" w:color="auto" w:fill="FFFFFF"/>
                  <w:lang w:val="en-US"/>
                </w:rPr>
                <w:t>aa</w:t>
              </w:r>
              <w:r w:rsidRPr="00753220">
                <w:rPr>
                  <w:rStyle w:val="a3"/>
                  <w:rFonts w:ascii="Segoe UI" w:hAnsi="Segoe UI" w:cs="Segoe UI"/>
                  <w:shd w:val="clear" w:color="auto" w:fill="FFFFFF"/>
                  <w:lang w:val="uk-UA"/>
                </w:rPr>
                <w:t>8</w:t>
              </w:r>
              <w:r w:rsidRPr="00A0675D">
                <w:rPr>
                  <w:rStyle w:val="a3"/>
                  <w:rFonts w:ascii="Segoe UI" w:hAnsi="Segoe UI" w:cs="Segoe UI"/>
                  <w:shd w:val="clear" w:color="auto" w:fill="FFFFFF"/>
                  <w:lang w:val="en-US"/>
                </w:rPr>
                <w:t>a</w:t>
              </w:r>
              <w:r w:rsidRPr="00753220">
                <w:rPr>
                  <w:rStyle w:val="a3"/>
                  <w:rFonts w:ascii="Segoe UI" w:hAnsi="Segoe UI" w:cs="Segoe UI"/>
                  <w:shd w:val="clear" w:color="auto" w:fill="FFFFFF"/>
                  <w:lang w:val="uk-UA"/>
                </w:rPr>
                <w:t>-4695-8667-9</w:t>
              </w:r>
              <w:r w:rsidRPr="00A0675D">
                <w:rPr>
                  <w:rStyle w:val="a3"/>
                  <w:rFonts w:ascii="Segoe UI" w:hAnsi="Segoe UI" w:cs="Segoe UI"/>
                  <w:shd w:val="clear" w:color="auto" w:fill="FFFFFF"/>
                  <w:lang w:val="en-US"/>
                </w:rPr>
                <w:t>b</w:t>
              </w:r>
              <w:r w:rsidRPr="00753220">
                <w:rPr>
                  <w:rStyle w:val="a3"/>
                  <w:rFonts w:ascii="Segoe UI" w:hAnsi="Segoe UI" w:cs="Segoe UI"/>
                  <w:shd w:val="clear" w:color="auto" w:fill="FFFFFF"/>
                  <w:lang w:val="uk-UA"/>
                </w:rPr>
                <w:t>1</w:t>
              </w:r>
              <w:r w:rsidRPr="00A0675D">
                <w:rPr>
                  <w:rStyle w:val="a3"/>
                  <w:rFonts w:ascii="Segoe UI" w:hAnsi="Segoe UI" w:cs="Segoe UI"/>
                  <w:shd w:val="clear" w:color="auto" w:fill="FFFFFF"/>
                  <w:lang w:val="en-US"/>
                </w:rPr>
                <w:t>d</w:t>
              </w:r>
              <w:r w:rsidRPr="00753220">
                <w:rPr>
                  <w:rStyle w:val="a3"/>
                  <w:rFonts w:ascii="Segoe UI" w:hAnsi="Segoe UI" w:cs="Segoe UI"/>
                  <w:shd w:val="clear" w:color="auto" w:fill="FFFFFF"/>
                  <w:lang w:val="uk-UA"/>
                </w:rPr>
                <w:t>78</w:t>
              </w:r>
              <w:r w:rsidRPr="00A0675D">
                <w:rPr>
                  <w:rStyle w:val="a3"/>
                  <w:rFonts w:ascii="Segoe UI" w:hAnsi="Segoe UI" w:cs="Segoe UI"/>
                  <w:shd w:val="clear" w:color="auto" w:fill="FFFFFF"/>
                  <w:lang w:val="en-US"/>
                </w:rPr>
                <w:t>be</w:t>
              </w:r>
              <w:r w:rsidRPr="00753220">
                <w:rPr>
                  <w:rStyle w:val="a3"/>
                  <w:rFonts w:ascii="Segoe UI" w:hAnsi="Segoe UI" w:cs="Segoe UI"/>
                  <w:shd w:val="clear" w:color="auto" w:fill="FFFFFF"/>
                  <w:lang w:val="uk-UA"/>
                </w:rPr>
                <w:t>4</w:t>
              </w:r>
              <w:r w:rsidRPr="00A0675D">
                <w:rPr>
                  <w:rStyle w:val="a3"/>
                  <w:rFonts w:ascii="Segoe UI" w:hAnsi="Segoe UI" w:cs="Segoe UI"/>
                  <w:shd w:val="clear" w:color="auto" w:fill="FFFFFF"/>
                  <w:lang w:val="en-US"/>
                </w:rPr>
                <w:t>e</w:t>
              </w:r>
              <w:r w:rsidRPr="00753220">
                <w:rPr>
                  <w:rStyle w:val="a3"/>
                  <w:rFonts w:ascii="Segoe UI" w:hAnsi="Segoe UI" w:cs="Segoe UI"/>
                  <w:shd w:val="clear" w:color="auto" w:fill="FFFFFF"/>
                  <w:lang w:val="uk-UA"/>
                </w:rPr>
                <w:t>28/</w:t>
              </w:r>
              <w:r w:rsidRPr="00A0675D">
                <w:rPr>
                  <w:rStyle w:val="a3"/>
                  <w:rFonts w:ascii="Segoe UI" w:hAnsi="Segoe UI" w:cs="Segoe UI"/>
                  <w:shd w:val="clear" w:color="auto" w:fill="FFFFFF"/>
                  <w:lang w:val="en-US"/>
                </w:rPr>
                <w:t>content</w:t>
              </w:r>
            </w:hyperlink>
            <w:r w:rsidRPr="00753220">
              <w:rPr>
                <w:rFonts w:ascii="Segoe UI" w:hAnsi="Segoe UI" w:cs="Segoe UI"/>
                <w:color w:val="212529"/>
                <w:shd w:val="clear" w:color="auto" w:fill="FFFFFF"/>
                <w:lang w:val="uk-UA"/>
              </w:rPr>
              <w:t>.</w:t>
            </w:r>
          </w:p>
          <w:p w14:paraId="73520236" w14:textId="77777777" w:rsidR="00A0675D" w:rsidRPr="00A0675D" w:rsidRDefault="00A0675D" w:rsidP="00A0675D">
            <w:pPr>
              <w:spacing w:after="0" w:line="240" w:lineRule="auto"/>
              <w:jc w:val="both"/>
              <w:rPr>
                <w:rFonts w:ascii="Segoe UI" w:hAnsi="Segoe UI" w:cs="Segoe UI"/>
                <w:color w:val="212529"/>
                <w:shd w:val="clear" w:color="auto" w:fill="FFFFFF"/>
                <w:lang w:val="uk-UA"/>
              </w:rPr>
            </w:pPr>
            <w:r w:rsidRPr="00A0675D">
              <w:rPr>
                <w:rFonts w:ascii="Segoe UI" w:hAnsi="Segoe UI" w:cs="Segoe UI"/>
                <w:color w:val="212529"/>
                <w:shd w:val="clear" w:color="auto" w:fill="FFFFFF"/>
                <w:lang w:val="uk-UA"/>
              </w:rPr>
              <w:t>4. Шандра О.Г. Визначення фіксажних точок для використання методу мікроелементів при визначенні трудомісткості будівельних процесів // Програма та тези доповідей. Архітектура, Дизайн та Будівництво: Інноваційні технології: Міжнародний науково-технічний форум (16-17 жовтня 2024 р., м. Київ). – Київ: Видавництво Ліра-К, 2024.</w:t>
            </w:r>
          </w:p>
          <w:p w14:paraId="2C2BB9FE" w14:textId="77777777" w:rsidR="00A0675D" w:rsidRPr="00A0675D" w:rsidRDefault="00A0675D" w:rsidP="00A0675D">
            <w:pPr>
              <w:spacing w:after="0" w:line="240" w:lineRule="auto"/>
              <w:jc w:val="both"/>
              <w:rPr>
                <w:rFonts w:ascii="Segoe UI" w:hAnsi="Segoe UI" w:cs="Segoe UI"/>
                <w:color w:val="212529"/>
                <w:shd w:val="clear" w:color="auto" w:fill="FFFFFF"/>
                <w:lang w:val="uk-UA"/>
              </w:rPr>
            </w:pPr>
            <w:r w:rsidRPr="00A0675D">
              <w:rPr>
                <w:rFonts w:ascii="Segoe UI" w:hAnsi="Segoe UI" w:cs="Segoe UI"/>
                <w:color w:val="212529"/>
                <w:shd w:val="clear" w:color="auto" w:fill="FFFFFF"/>
                <w:lang w:val="uk-UA"/>
              </w:rPr>
              <w:t>5. Шандра О. Г. Варіантне проєктування в умовах сучасного каркасного будівництва // Програма та тези доповідей. Архітектура, Будівництво, Дизайн: Виробництво, Інформатизація, Менеджмент: Міжнародний науково-технічний форум (24–25 листопада 2025 р., м. Київ). – Київ: Видавництво Ліра-К, 2025.</w:t>
            </w:r>
          </w:p>
          <w:p w14:paraId="7EDFF93E" w14:textId="125C5BD5" w:rsidR="009E3946" w:rsidRPr="009E3946" w:rsidRDefault="009E3946" w:rsidP="00E77C69">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C84368" w14:paraId="2304C97E" w14:textId="77777777" w:rsidTr="007043D3">
        <w:tc>
          <w:tcPr>
            <w:tcW w:w="6487" w:type="dxa"/>
            <w:shd w:val="clear" w:color="auto" w:fill="auto"/>
          </w:tcPr>
          <w:p w14:paraId="7E916F79"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lastRenderedPageBreak/>
              <w:t xml:space="preserve">13)проведення навчальних занять із спеціальних дисциплін іноземною мовою (крім дисциплін мовної підготовки) в обсязі не менше </w:t>
            </w:r>
            <w:r w:rsidRPr="00C84368">
              <w:rPr>
                <w:rFonts w:ascii="Times New Roman" w:hAnsi="Times New Roman"/>
                <w:sz w:val="24"/>
                <w:szCs w:val="24"/>
              </w:rPr>
              <w:br/>
              <w:t>50 аудиторних годин на навчальний рік;</w:t>
            </w:r>
          </w:p>
        </w:tc>
        <w:tc>
          <w:tcPr>
            <w:tcW w:w="8505" w:type="dxa"/>
            <w:shd w:val="clear" w:color="auto" w:fill="auto"/>
          </w:tcPr>
          <w:p w14:paraId="2C6E6AD2"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C84368" w14:paraId="59DDAB73" w14:textId="77777777" w:rsidTr="007043D3">
        <w:tc>
          <w:tcPr>
            <w:tcW w:w="6487" w:type="dxa"/>
            <w:shd w:val="clear" w:color="auto" w:fill="auto"/>
          </w:tcPr>
          <w:p w14:paraId="09B29A07"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 xml:space="preserve">14)керівництво студентом, який зайняв призове місце на I або ІІ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w:t>
            </w:r>
            <w:r w:rsidRPr="00C84368">
              <w:rPr>
                <w:rFonts w:ascii="Times New Roman" w:hAnsi="Times New Roman"/>
                <w:sz w:val="24"/>
                <w:szCs w:val="24"/>
              </w:rPr>
              <w:lastRenderedPageBreak/>
              <w:t>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8505" w:type="dxa"/>
            <w:shd w:val="clear" w:color="auto" w:fill="auto"/>
          </w:tcPr>
          <w:p w14:paraId="23CBBB50"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C84368" w14:paraId="3F48F989" w14:textId="77777777" w:rsidTr="007043D3">
        <w:tc>
          <w:tcPr>
            <w:tcW w:w="6487" w:type="dxa"/>
            <w:shd w:val="clear" w:color="auto" w:fill="auto"/>
          </w:tcPr>
          <w:p w14:paraId="28074E3E"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lastRenderedPageBreak/>
              <w:t>15)керівництво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(освітньо-наукового/освітньо-творчого) рівня);</w:t>
            </w:r>
          </w:p>
        </w:tc>
        <w:tc>
          <w:tcPr>
            <w:tcW w:w="8505" w:type="dxa"/>
            <w:shd w:val="clear" w:color="auto" w:fill="auto"/>
          </w:tcPr>
          <w:p w14:paraId="3B5176D7" w14:textId="77777777" w:rsidR="0065335E" w:rsidRPr="00C84368" w:rsidRDefault="0065335E" w:rsidP="007043D3">
            <w:pPr>
              <w:pStyle w:val="1"/>
              <w:ind w:left="0" w:right="0" w:firstLine="0"/>
              <w:jc w:val="both"/>
              <w:rPr>
                <w:rStyle w:val="rvts82"/>
                <w:sz w:val="24"/>
                <w:szCs w:val="24"/>
                <w:lang w:val="uk-UA"/>
              </w:rPr>
            </w:pPr>
          </w:p>
        </w:tc>
      </w:tr>
      <w:tr w:rsidR="0065335E" w:rsidRPr="00C84368" w14:paraId="50AD155B" w14:textId="77777777" w:rsidTr="007043D3">
        <w:tc>
          <w:tcPr>
            <w:tcW w:w="6487" w:type="dxa"/>
            <w:shd w:val="clear" w:color="auto" w:fill="auto"/>
          </w:tcPr>
          <w:p w14:paraId="6D99D808"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lastRenderedPageBreak/>
              <w:t>16)наявність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505" w:type="dxa"/>
            <w:shd w:val="clear" w:color="auto" w:fill="auto"/>
          </w:tcPr>
          <w:p w14:paraId="42018DE3"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753220" w14:paraId="2B4D7ADA" w14:textId="77777777" w:rsidTr="007043D3">
        <w:tc>
          <w:tcPr>
            <w:tcW w:w="6487" w:type="dxa"/>
            <w:shd w:val="clear" w:color="auto" w:fill="auto"/>
          </w:tcPr>
          <w:p w14:paraId="1B19205F"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17)участь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505" w:type="dxa"/>
            <w:shd w:val="clear" w:color="auto" w:fill="auto"/>
          </w:tcPr>
          <w:p w14:paraId="2DFBADF6" w14:textId="77777777" w:rsidR="0065335E" w:rsidRPr="00C84368" w:rsidRDefault="0065335E" w:rsidP="007043D3">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7043D3" w14:paraId="73142AD8" w14:textId="77777777" w:rsidTr="007043D3">
        <w:tc>
          <w:tcPr>
            <w:tcW w:w="6487" w:type="dxa"/>
            <w:shd w:val="clear" w:color="auto" w:fill="auto"/>
          </w:tcPr>
          <w:p w14:paraId="566ED7C8"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18)участь у міжнародних військових навчаннях (тренуваннях) за участю з</w:t>
            </w:r>
            <w:r w:rsidR="00616124">
              <w:rPr>
                <w:rFonts w:ascii="Times New Roman" w:hAnsi="Times New Roman"/>
                <w:sz w:val="24"/>
                <w:szCs w:val="24"/>
              </w:rPr>
              <w:t>бройних сил країн — членів НАТО</w:t>
            </w:r>
            <w:r w:rsidRPr="00C84368">
              <w:rPr>
                <w:rFonts w:ascii="Times New Roman" w:hAnsi="Times New Roman"/>
                <w:sz w:val="24"/>
                <w:szCs w:val="24"/>
              </w:rPr>
              <w:t>(для вищих військових навчальних закладів, військових навчальних підрозділів закладів вищої освіти);</w:t>
            </w:r>
          </w:p>
        </w:tc>
        <w:tc>
          <w:tcPr>
            <w:tcW w:w="8505" w:type="dxa"/>
            <w:shd w:val="clear" w:color="auto" w:fill="auto"/>
          </w:tcPr>
          <w:p w14:paraId="755904A5" w14:textId="77777777" w:rsidR="0065335E" w:rsidRPr="00C84368" w:rsidRDefault="0065335E" w:rsidP="007043D3">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A51668" w14:paraId="7B498B29" w14:textId="77777777" w:rsidTr="007043D3">
        <w:tc>
          <w:tcPr>
            <w:tcW w:w="6487" w:type="dxa"/>
            <w:shd w:val="clear" w:color="auto" w:fill="auto"/>
          </w:tcPr>
          <w:p w14:paraId="67BC98E0"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19)діяльність за спеціальністю у формі участі у професійних та/або громадських об’єднаннях;</w:t>
            </w:r>
          </w:p>
        </w:tc>
        <w:tc>
          <w:tcPr>
            <w:tcW w:w="8505" w:type="dxa"/>
            <w:shd w:val="clear" w:color="auto" w:fill="auto"/>
          </w:tcPr>
          <w:p w14:paraId="4941C5AE" w14:textId="77777777" w:rsidR="0065335E" w:rsidRPr="00C84368" w:rsidRDefault="0065335E" w:rsidP="00A51668">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p>
        </w:tc>
      </w:tr>
      <w:tr w:rsidR="0065335E" w:rsidRPr="00C84368" w14:paraId="6AFB8D35" w14:textId="77777777" w:rsidTr="007043D3">
        <w:tc>
          <w:tcPr>
            <w:tcW w:w="6487" w:type="dxa"/>
            <w:shd w:val="clear" w:color="auto" w:fill="auto"/>
          </w:tcPr>
          <w:p w14:paraId="4F6C93C3" w14:textId="77777777" w:rsidR="0065335E" w:rsidRPr="00C84368" w:rsidRDefault="0065335E" w:rsidP="007043D3">
            <w:pPr>
              <w:pStyle w:val="a9"/>
              <w:widowControl w:val="0"/>
              <w:spacing w:line="228" w:lineRule="auto"/>
              <w:rPr>
                <w:rFonts w:ascii="Times New Roman" w:hAnsi="Times New Roman"/>
                <w:sz w:val="24"/>
                <w:szCs w:val="24"/>
              </w:rPr>
            </w:pPr>
            <w:r w:rsidRPr="00C84368">
              <w:rPr>
                <w:rFonts w:ascii="Times New Roman" w:hAnsi="Times New Roman"/>
                <w:sz w:val="24"/>
                <w:szCs w:val="24"/>
              </w:rPr>
              <w:t>20)досвід практичної роботи за спеціальністю не менше п’яти років (крім педагогічної, науково-педагогічної, наукової діяльності).</w:t>
            </w:r>
          </w:p>
        </w:tc>
        <w:tc>
          <w:tcPr>
            <w:tcW w:w="8505" w:type="dxa"/>
            <w:shd w:val="clear" w:color="auto" w:fill="auto"/>
          </w:tcPr>
          <w:p w14:paraId="136D8106" w14:textId="62E40385" w:rsidR="00886CF6" w:rsidRPr="006B6969" w:rsidRDefault="00886CF6" w:rsidP="00D2094C">
            <w:pPr>
              <w:spacing w:after="0" w:line="240" w:lineRule="auto"/>
              <w:rPr>
                <w:rStyle w:val="rvts82"/>
                <w:rFonts w:ascii="Times New Roman" w:hAnsi="Times New Roman" w:cs="Times New Roman"/>
                <w:sz w:val="24"/>
                <w:szCs w:val="24"/>
                <w:highlight w:val="red"/>
                <w:bdr w:val="none" w:sz="0" w:space="0" w:color="auto" w:frame="1"/>
                <w:shd w:val="clear" w:color="auto" w:fill="FFFFFF"/>
                <w:lang w:val="en-US"/>
              </w:rPr>
            </w:pPr>
          </w:p>
        </w:tc>
      </w:tr>
    </w:tbl>
    <w:p w14:paraId="4F6515C7" w14:textId="77777777" w:rsidR="0065335E" w:rsidRPr="00C84368" w:rsidRDefault="0065335E">
      <w:pPr>
        <w:rPr>
          <w:rFonts w:ascii="Times New Roman" w:hAnsi="Times New Roman" w:cs="Times New Roman"/>
          <w:sz w:val="24"/>
          <w:szCs w:val="24"/>
          <w:lang w:val="uk-UA"/>
        </w:rPr>
      </w:pPr>
    </w:p>
    <w:sectPr w:rsidR="0065335E" w:rsidRPr="00C84368" w:rsidSect="0065335E">
      <w:pgSz w:w="16838" w:h="11906" w:orient="landscape"/>
      <w:pgMar w:top="170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B8C3A" w16cex:dateUtc="2025-04-17T11:18:00Z"/>
  <w16cex:commentExtensible w16cex:durableId="2BAB8DD4" w16cex:dateUtc="2025-04-17T11:25:00Z"/>
  <w16cex:commentExtensible w16cex:durableId="2BAB8FAB" w16cex:dateUtc="2025-04-17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8AC8E" w16cid:durableId="2BAB8C3A"/>
  <w16cid:commentId w16cid:paraId="24741070" w16cid:durableId="2BAB8DD4"/>
  <w16cid:commentId w16cid:paraId="4260CA4D" w16cid:durableId="2BAB8F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E75CB" w14:textId="77777777" w:rsidR="00A05355" w:rsidRDefault="00A05355" w:rsidP="0065335E">
      <w:pPr>
        <w:spacing w:after="0" w:line="240" w:lineRule="auto"/>
      </w:pPr>
      <w:r>
        <w:separator/>
      </w:r>
    </w:p>
  </w:endnote>
  <w:endnote w:type="continuationSeparator" w:id="0">
    <w:p w14:paraId="1BFC97B7" w14:textId="77777777" w:rsidR="00A05355" w:rsidRDefault="00A05355" w:rsidP="0065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C7BB7" w14:textId="77777777" w:rsidR="00A05355" w:rsidRDefault="00A05355" w:rsidP="0065335E">
      <w:pPr>
        <w:spacing w:after="0" w:line="240" w:lineRule="auto"/>
      </w:pPr>
      <w:r>
        <w:separator/>
      </w:r>
    </w:p>
  </w:footnote>
  <w:footnote w:type="continuationSeparator" w:id="0">
    <w:p w14:paraId="6DB80596" w14:textId="77777777" w:rsidR="00A05355" w:rsidRDefault="00A05355" w:rsidP="00653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866"/>
    <w:multiLevelType w:val="hybridMultilevel"/>
    <w:tmpl w:val="B3F2F416"/>
    <w:lvl w:ilvl="0" w:tplc="809695D6">
      <w:start w:val="3"/>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 w15:restartNumberingAfterBreak="0">
    <w:nsid w:val="16FD29A5"/>
    <w:multiLevelType w:val="hybridMultilevel"/>
    <w:tmpl w:val="97F069E6"/>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472ED"/>
    <w:multiLevelType w:val="hybridMultilevel"/>
    <w:tmpl w:val="D5CEEDB0"/>
    <w:lvl w:ilvl="0" w:tplc="0CA69502">
      <w:start w:val="1"/>
      <w:numFmt w:val="decimal"/>
      <w:lvlText w:val="%1."/>
      <w:lvlJc w:val="left"/>
      <w:pPr>
        <w:ind w:left="677"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C95D6D"/>
    <w:multiLevelType w:val="hybridMultilevel"/>
    <w:tmpl w:val="388EE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AF050F3"/>
    <w:multiLevelType w:val="hybridMultilevel"/>
    <w:tmpl w:val="C56C6174"/>
    <w:lvl w:ilvl="0" w:tplc="0E4CC8B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5" w15:restartNumberingAfterBreak="0">
    <w:nsid w:val="40176D0F"/>
    <w:multiLevelType w:val="hybridMultilevel"/>
    <w:tmpl w:val="C56C6174"/>
    <w:lvl w:ilvl="0" w:tplc="0E4CC8B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6" w15:restartNumberingAfterBreak="0">
    <w:nsid w:val="41761049"/>
    <w:multiLevelType w:val="hybridMultilevel"/>
    <w:tmpl w:val="1956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C16AD"/>
    <w:multiLevelType w:val="hybridMultilevel"/>
    <w:tmpl w:val="4E98B268"/>
    <w:lvl w:ilvl="0" w:tplc="EFC4CAA6">
      <w:start w:val="1"/>
      <w:numFmt w:val="decimal"/>
      <w:lvlText w:val="%1."/>
      <w:lvlJc w:val="left"/>
      <w:pPr>
        <w:tabs>
          <w:tab w:val="num" w:pos="720"/>
        </w:tabs>
        <w:ind w:left="720" w:hanging="360"/>
      </w:pPr>
    </w:lvl>
    <w:lvl w:ilvl="1" w:tplc="DA06DB4A" w:tentative="1">
      <w:start w:val="1"/>
      <w:numFmt w:val="decimal"/>
      <w:lvlText w:val="%2."/>
      <w:lvlJc w:val="left"/>
      <w:pPr>
        <w:tabs>
          <w:tab w:val="num" w:pos="1440"/>
        </w:tabs>
        <w:ind w:left="1440" w:hanging="360"/>
      </w:pPr>
    </w:lvl>
    <w:lvl w:ilvl="2" w:tplc="1F708D0A" w:tentative="1">
      <w:start w:val="1"/>
      <w:numFmt w:val="decimal"/>
      <w:lvlText w:val="%3."/>
      <w:lvlJc w:val="left"/>
      <w:pPr>
        <w:tabs>
          <w:tab w:val="num" w:pos="2160"/>
        </w:tabs>
        <w:ind w:left="2160" w:hanging="360"/>
      </w:pPr>
    </w:lvl>
    <w:lvl w:ilvl="3" w:tplc="490244D4" w:tentative="1">
      <w:start w:val="1"/>
      <w:numFmt w:val="decimal"/>
      <w:lvlText w:val="%4."/>
      <w:lvlJc w:val="left"/>
      <w:pPr>
        <w:tabs>
          <w:tab w:val="num" w:pos="2880"/>
        </w:tabs>
        <w:ind w:left="2880" w:hanging="360"/>
      </w:pPr>
    </w:lvl>
    <w:lvl w:ilvl="4" w:tplc="FB0A37DA" w:tentative="1">
      <w:start w:val="1"/>
      <w:numFmt w:val="decimal"/>
      <w:lvlText w:val="%5."/>
      <w:lvlJc w:val="left"/>
      <w:pPr>
        <w:tabs>
          <w:tab w:val="num" w:pos="3600"/>
        </w:tabs>
        <w:ind w:left="3600" w:hanging="360"/>
      </w:pPr>
    </w:lvl>
    <w:lvl w:ilvl="5" w:tplc="21006910" w:tentative="1">
      <w:start w:val="1"/>
      <w:numFmt w:val="decimal"/>
      <w:lvlText w:val="%6."/>
      <w:lvlJc w:val="left"/>
      <w:pPr>
        <w:tabs>
          <w:tab w:val="num" w:pos="4320"/>
        </w:tabs>
        <w:ind w:left="4320" w:hanging="360"/>
      </w:pPr>
    </w:lvl>
    <w:lvl w:ilvl="6" w:tplc="0D56D7A2" w:tentative="1">
      <w:start w:val="1"/>
      <w:numFmt w:val="decimal"/>
      <w:lvlText w:val="%7."/>
      <w:lvlJc w:val="left"/>
      <w:pPr>
        <w:tabs>
          <w:tab w:val="num" w:pos="5040"/>
        </w:tabs>
        <w:ind w:left="5040" w:hanging="360"/>
      </w:pPr>
    </w:lvl>
    <w:lvl w:ilvl="7" w:tplc="0F72FBF4" w:tentative="1">
      <w:start w:val="1"/>
      <w:numFmt w:val="decimal"/>
      <w:lvlText w:val="%8."/>
      <w:lvlJc w:val="left"/>
      <w:pPr>
        <w:tabs>
          <w:tab w:val="num" w:pos="5760"/>
        </w:tabs>
        <w:ind w:left="5760" w:hanging="360"/>
      </w:pPr>
    </w:lvl>
    <w:lvl w:ilvl="8" w:tplc="72FEDBF4" w:tentative="1">
      <w:start w:val="1"/>
      <w:numFmt w:val="decimal"/>
      <w:lvlText w:val="%9."/>
      <w:lvlJc w:val="left"/>
      <w:pPr>
        <w:tabs>
          <w:tab w:val="num" w:pos="6480"/>
        </w:tabs>
        <w:ind w:left="6480" w:hanging="360"/>
      </w:pPr>
    </w:lvl>
  </w:abstractNum>
  <w:abstractNum w:abstractNumId="8" w15:restartNumberingAfterBreak="0">
    <w:nsid w:val="4D5A4C87"/>
    <w:multiLevelType w:val="hybridMultilevel"/>
    <w:tmpl w:val="70E43F64"/>
    <w:lvl w:ilvl="0" w:tplc="B3F6744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D68AE"/>
    <w:multiLevelType w:val="multilevel"/>
    <w:tmpl w:val="60C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E3D56"/>
    <w:multiLevelType w:val="hybridMultilevel"/>
    <w:tmpl w:val="B2FAB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35731"/>
    <w:multiLevelType w:val="hybridMultilevel"/>
    <w:tmpl w:val="72023DFA"/>
    <w:lvl w:ilvl="0" w:tplc="B3F6744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86DE5"/>
    <w:multiLevelType w:val="hybridMultilevel"/>
    <w:tmpl w:val="93E89424"/>
    <w:lvl w:ilvl="0" w:tplc="B3F67442">
      <w:start w:val="1"/>
      <w:numFmt w:val="decimal"/>
      <w:lvlText w:val="%1."/>
      <w:lvlJc w:val="left"/>
      <w:pPr>
        <w:ind w:left="701" w:hanging="42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abstractNumId w:val="9"/>
  </w:num>
  <w:num w:numId="2">
    <w:abstractNumId w:val="0"/>
  </w:num>
  <w:num w:numId="3">
    <w:abstractNumId w:val="10"/>
  </w:num>
  <w:num w:numId="4">
    <w:abstractNumId w:val="8"/>
  </w:num>
  <w:num w:numId="5">
    <w:abstractNumId w:val="12"/>
  </w:num>
  <w:num w:numId="6">
    <w:abstractNumId w:val="11"/>
  </w:num>
  <w:num w:numId="7">
    <w:abstractNumId w:val="5"/>
  </w:num>
  <w:num w:numId="8">
    <w:abstractNumId w:val="3"/>
  </w:num>
  <w:num w:numId="9">
    <w:abstractNumId w:val="4"/>
  </w:num>
  <w:num w:numId="10">
    <w:abstractNumId w:val="2"/>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5E"/>
    <w:rsid w:val="00004308"/>
    <w:rsid w:val="0002757B"/>
    <w:rsid w:val="0004117A"/>
    <w:rsid w:val="00074454"/>
    <w:rsid w:val="00096CCF"/>
    <w:rsid w:val="000B2EE6"/>
    <w:rsid w:val="000D1230"/>
    <w:rsid w:val="000F0AC6"/>
    <w:rsid w:val="001A3172"/>
    <w:rsid w:val="001B191F"/>
    <w:rsid w:val="00247CBB"/>
    <w:rsid w:val="00247FCA"/>
    <w:rsid w:val="00265773"/>
    <w:rsid w:val="00277D59"/>
    <w:rsid w:val="0028443F"/>
    <w:rsid w:val="002D07E0"/>
    <w:rsid w:val="00363DA0"/>
    <w:rsid w:val="003B7663"/>
    <w:rsid w:val="003C33CA"/>
    <w:rsid w:val="003C7546"/>
    <w:rsid w:val="003D1BC6"/>
    <w:rsid w:val="003D6ADA"/>
    <w:rsid w:val="00421557"/>
    <w:rsid w:val="00424804"/>
    <w:rsid w:val="00434ED5"/>
    <w:rsid w:val="00486A6F"/>
    <w:rsid w:val="00521FCC"/>
    <w:rsid w:val="005C2E91"/>
    <w:rsid w:val="005C7699"/>
    <w:rsid w:val="005E1626"/>
    <w:rsid w:val="00616124"/>
    <w:rsid w:val="00616268"/>
    <w:rsid w:val="006376A9"/>
    <w:rsid w:val="0065335E"/>
    <w:rsid w:val="00653BC1"/>
    <w:rsid w:val="00663E70"/>
    <w:rsid w:val="00673CC1"/>
    <w:rsid w:val="0069375E"/>
    <w:rsid w:val="006B1402"/>
    <w:rsid w:val="006B2466"/>
    <w:rsid w:val="006B6969"/>
    <w:rsid w:val="006F480B"/>
    <w:rsid w:val="007043D3"/>
    <w:rsid w:val="00722278"/>
    <w:rsid w:val="007372A3"/>
    <w:rsid w:val="0074175F"/>
    <w:rsid w:val="00753220"/>
    <w:rsid w:val="007D0F38"/>
    <w:rsid w:val="007E3D91"/>
    <w:rsid w:val="00817ACF"/>
    <w:rsid w:val="00823244"/>
    <w:rsid w:val="008559FF"/>
    <w:rsid w:val="008630A3"/>
    <w:rsid w:val="00873E19"/>
    <w:rsid w:val="00886CF6"/>
    <w:rsid w:val="008A54D3"/>
    <w:rsid w:val="008C4532"/>
    <w:rsid w:val="0092340D"/>
    <w:rsid w:val="0093579B"/>
    <w:rsid w:val="00960464"/>
    <w:rsid w:val="00984B12"/>
    <w:rsid w:val="009A19FC"/>
    <w:rsid w:val="009E3946"/>
    <w:rsid w:val="00A05355"/>
    <w:rsid w:val="00A0675D"/>
    <w:rsid w:val="00A25109"/>
    <w:rsid w:val="00A51668"/>
    <w:rsid w:val="00A70584"/>
    <w:rsid w:val="00AC5280"/>
    <w:rsid w:val="00AD2D33"/>
    <w:rsid w:val="00AD40F5"/>
    <w:rsid w:val="00AF165F"/>
    <w:rsid w:val="00B04CCA"/>
    <w:rsid w:val="00B20932"/>
    <w:rsid w:val="00B36B23"/>
    <w:rsid w:val="00B65E33"/>
    <w:rsid w:val="00B9364F"/>
    <w:rsid w:val="00BB0ED0"/>
    <w:rsid w:val="00BB421B"/>
    <w:rsid w:val="00C35AE0"/>
    <w:rsid w:val="00C4366A"/>
    <w:rsid w:val="00C71198"/>
    <w:rsid w:val="00C84368"/>
    <w:rsid w:val="00CB480C"/>
    <w:rsid w:val="00CD3132"/>
    <w:rsid w:val="00D2094C"/>
    <w:rsid w:val="00D731D2"/>
    <w:rsid w:val="00D828FE"/>
    <w:rsid w:val="00DB5B18"/>
    <w:rsid w:val="00DC46E4"/>
    <w:rsid w:val="00DE6E42"/>
    <w:rsid w:val="00E40D24"/>
    <w:rsid w:val="00E77C69"/>
    <w:rsid w:val="00E77D30"/>
    <w:rsid w:val="00E816FB"/>
    <w:rsid w:val="00E870DD"/>
    <w:rsid w:val="00EF06B6"/>
    <w:rsid w:val="00F03860"/>
    <w:rsid w:val="00F173D8"/>
    <w:rsid w:val="00F26C76"/>
    <w:rsid w:val="00F3044C"/>
    <w:rsid w:val="00FA1FE9"/>
    <w:rsid w:val="00FB5972"/>
    <w:rsid w:val="00FC0736"/>
    <w:rsid w:val="00FD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7B38"/>
  <w15:chartTrackingRefBased/>
  <w15:docId w15:val="{6BB3CA30-A890-4AF6-8996-031303C1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35E"/>
    <w:pPr>
      <w:spacing w:after="200" w:line="276" w:lineRule="auto"/>
    </w:pPr>
    <w:rPr>
      <w:rFonts w:eastAsia="SimSun" w:cs="SimSun"/>
      <w:sz w:val="22"/>
      <w:szCs w:val="22"/>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65335E"/>
  </w:style>
  <w:style w:type="character" w:styleId="a3">
    <w:name w:val="Hyperlink"/>
    <w:uiPriority w:val="99"/>
    <w:rsid w:val="0065335E"/>
    <w:rPr>
      <w:color w:val="0000FF"/>
      <w:u w:val="single"/>
    </w:rPr>
  </w:style>
  <w:style w:type="paragraph" w:customStyle="1" w:styleId="1">
    <w:name w:val="Текст1"/>
    <w:basedOn w:val="a"/>
    <w:rsid w:val="0065335E"/>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rPr>
  </w:style>
  <w:style w:type="character" w:styleId="a4">
    <w:name w:val="Strong"/>
    <w:uiPriority w:val="22"/>
    <w:qFormat/>
    <w:rsid w:val="0065335E"/>
    <w:rPr>
      <w:b/>
      <w:bCs/>
    </w:rPr>
  </w:style>
  <w:style w:type="character" w:customStyle="1" w:styleId="bibliographic-informationtitle">
    <w:name w:val="bibliographic-information__title"/>
    <w:rsid w:val="0065335E"/>
  </w:style>
  <w:style w:type="character" w:customStyle="1" w:styleId="bibliographic-informationvalue">
    <w:name w:val="bibliographic-information__value"/>
    <w:rsid w:val="0065335E"/>
  </w:style>
  <w:style w:type="paragraph" w:styleId="a5">
    <w:name w:val="header"/>
    <w:basedOn w:val="a"/>
    <w:link w:val="a6"/>
    <w:uiPriority w:val="99"/>
    <w:semiHidden/>
    <w:unhideWhenUsed/>
    <w:rsid w:val="0065335E"/>
    <w:pPr>
      <w:tabs>
        <w:tab w:val="center" w:pos="4677"/>
        <w:tab w:val="right" w:pos="9355"/>
      </w:tabs>
      <w:spacing w:after="0" w:line="240" w:lineRule="auto"/>
    </w:pPr>
  </w:style>
  <w:style w:type="character" w:customStyle="1" w:styleId="a6">
    <w:name w:val="Верхний колонтитул Знак"/>
    <w:link w:val="a5"/>
    <w:uiPriority w:val="99"/>
    <w:semiHidden/>
    <w:rsid w:val="0065335E"/>
    <w:rPr>
      <w:rFonts w:ascii="Calibri" w:eastAsia="SimSun" w:hAnsi="Calibri" w:cs="SimSun"/>
      <w:lang w:eastAsia="ru-RU"/>
    </w:rPr>
  </w:style>
  <w:style w:type="paragraph" w:styleId="a7">
    <w:name w:val="footer"/>
    <w:basedOn w:val="a"/>
    <w:link w:val="a8"/>
    <w:uiPriority w:val="99"/>
    <w:semiHidden/>
    <w:unhideWhenUsed/>
    <w:rsid w:val="0065335E"/>
    <w:pPr>
      <w:tabs>
        <w:tab w:val="center" w:pos="4677"/>
        <w:tab w:val="right" w:pos="9355"/>
      </w:tabs>
      <w:spacing w:after="0" w:line="240" w:lineRule="auto"/>
    </w:pPr>
  </w:style>
  <w:style w:type="character" w:customStyle="1" w:styleId="a8">
    <w:name w:val="Нижний колонтитул Знак"/>
    <w:link w:val="a7"/>
    <w:uiPriority w:val="99"/>
    <w:semiHidden/>
    <w:rsid w:val="0065335E"/>
    <w:rPr>
      <w:rFonts w:ascii="Calibri" w:eastAsia="SimSun" w:hAnsi="Calibri" w:cs="SimSun"/>
      <w:lang w:eastAsia="ru-RU"/>
    </w:rPr>
  </w:style>
  <w:style w:type="paragraph" w:customStyle="1" w:styleId="a9">
    <w:name w:val="Нормальний текст"/>
    <w:basedOn w:val="a"/>
    <w:qFormat/>
    <w:rsid w:val="0065335E"/>
    <w:pPr>
      <w:spacing w:before="120" w:after="0" w:line="240" w:lineRule="auto"/>
      <w:ind w:firstLine="567"/>
    </w:pPr>
    <w:rPr>
      <w:rFonts w:ascii="Antiqua" w:eastAsia="Times New Roman" w:hAnsi="Antiqua" w:cs="Times New Roman"/>
      <w:sz w:val="26"/>
      <w:szCs w:val="20"/>
      <w:lang w:val="uk-UA"/>
    </w:rPr>
  </w:style>
  <w:style w:type="paragraph" w:customStyle="1" w:styleId="ShapkaDocumentu">
    <w:name w:val="Shapka Documentu"/>
    <w:basedOn w:val="a"/>
    <w:qFormat/>
    <w:rsid w:val="007043D3"/>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aa">
    <w:name w:val="Список лит"/>
    <w:basedOn w:val="a"/>
    <w:link w:val="ab"/>
    <w:rsid w:val="00C71198"/>
    <w:pPr>
      <w:spacing w:after="0" w:line="212" w:lineRule="exact"/>
      <w:ind w:left="340" w:hanging="340"/>
      <w:jc w:val="both"/>
    </w:pPr>
    <w:rPr>
      <w:rFonts w:ascii="Times New Roman" w:eastAsia="Times New Roman" w:hAnsi="Times New Roman" w:cs="Times New Roman"/>
      <w:sz w:val="17"/>
      <w:szCs w:val="20"/>
      <w:lang w:val="uk-UA"/>
    </w:rPr>
  </w:style>
  <w:style w:type="character" w:customStyle="1" w:styleId="ab">
    <w:name w:val="Список лит Знак"/>
    <w:link w:val="aa"/>
    <w:rsid w:val="00C71198"/>
    <w:rPr>
      <w:rFonts w:ascii="Times New Roman" w:eastAsia="Times New Roman" w:hAnsi="Times New Roman" w:cs="Times New Roman"/>
      <w:sz w:val="17"/>
      <w:szCs w:val="20"/>
      <w:lang w:val="uk-UA" w:eastAsia="ru-RU"/>
    </w:rPr>
  </w:style>
  <w:style w:type="paragraph" w:styleId="ac">
    <w:name w:val="List Paragraph"/>
    <w:basedOn w:val="a"/>
    <w:uiPriority w:val="34"/>
    <w:qFormat/>
    <w:rsid w:val="003C33CA"/>
    <w:pPr>
      <w:ind w:left="720"/>
      <w:contextualSpacing/>
    </w:pPr>
  </w:style>
  <w:style w:type="paragraph" w:styleId="ad">
    <w:name w:val="Body Text Indent"/>
    <w:basedOn w:val="a"/>
    <w:link w:val="ae"/>
    <w:rsid w:val="003D1BC6"/>
    <w:pPr>
      <w:spacing w:after="0" w:line="480" w:lineRule="auto"/>
      <w:ind w:firstLine="720"/>
      <w:jc w:val="center"/>
    </w:pPr>
    <w:rPr>
      <w:rFonts w:ascii="Times New Roman" w:eastAsia="Times New Roman" w:hAnsi="Times New Roman" w:cs="Times New Roman"/>
      <w:sz w:val="24"/>
      <w:szCs w:val="20"/>
      <w:lang w:val="uk-UA"/>
    </w:rPr>
  </w:style>
  <w:style w:type="character" w:customStyle="1" w:styleId="ae">
    <w:name w:val="Основной текст с отступом Знак"/>
    <w:link w:val="ad"/>
    <w:rsid w:val="003D1BC6"/>
    <w:rPr>
      <w:rFonts w:ascii="Times New Roman" w:eastAsia="Times New Roman" w:hAnsi="Times New Roman" w:cs="Times New Roman"/>
      <w:sz w:val="24"/>
      <w:szCs w:val="20"/>
      <w:lang w:val="uk-UA" w:eastAsia="ru-RU"/>
    </w:rPr>
  </w:style>
  <w:style w:type="paragraph" w:styleId="3">
    <w:name w:val="Body Text Indent 3"/>
    <w:basedOn w:val="a"/>
    <w:link w:val="30"/>
    <w:uiPriority w:val="99"/>
    <w:semiHidden/>
    <w:unhideWhenUsed/>
    <w:rsid w:val="002D07E0"/>
    <w:pPr>
      <w:spacing w:after="120"/>
      <w:ind w:left="283"/>
    </w:pPr>
    <w:rPr>
      <w:sz w:val="16"/>
      <w:szCs w:val="16"/>
    </w:rPr>
  </w:style>
  <w:style w:type="character" w:customStyle="1" w:styleId="30">
    <w:name w:val="Основной текст с отступом 3 Знак"/>
    <w:link w:val="3"/>
    <w:uiPriority w:val="99"/>
    <w:semiHidden/>
    <w:rsid w:val="002D07E0"/>
    <w:rPr>
      <w:rFonts w:ascii="Calibri" w:eastAsia="SimSun" w:hAnsi="Calibri" w:cs="SimSun"/>
      <w:sz w:val="16"/>
      <w:szCs w:val="16"/>
      <w:lang w:eastAsia="ru-RU"/>
    </w:rPr>
  </w:style>
  <w:style w:type="paragraph" w:customStyle="1" w:styleId="Default">
    <w:name w:val="Default"/>
    <w:rsid w:val="007E3D91"/>
    <w:pPr>
      <w:autoSpaceDE w:val="0"/>
      <w:autoSpaceDN w:val="0"/>
      <w:adjustRightInd w:val="0"/>
    </w:pPr>
    <w:rPr>
      <w:rFonts w:ascii="Times New Roman" w:hAnsi="Times New Roman"/>
      <w:color w:val="000000"/>
      <w:sz w:val="24"/>
      <w:szCs w:val="24"/>
      <w:lang w:val="uk-UA"/>
    </w:rPr>
  </w:style>
  <w:style w:type="character" w:styleId="af">
    <w:name w:val="FollowedHyperlink"/>
    <w:basedOn w:val="a0"/>
    <w:uiPriority w:val="99"/>
    <w:semiHidden/>
    <w:unhideWhenUsed/>
    <w:rsid w:val="005E1626"/>
    <w:rPr>
      <w:color w:val="954F72" w:themeColor="followedHyperlink"/>
      <w:u w:val="single"/>
    </w:rPr>
  </w:style>
  <w:style w:type="character" w:styleId="af0">
    <w:name w:val="annotation reference"/>
    <w:basedOn w:val="a0"/>
    <w:uiPriority w:val="99"/>
    <w:semiHidden/>
    <w:unhideWhenUsed/>
    <w:rsid w:val="00E816FB"/>
    <w:rPr>
      <w:sz w:val="16"/>
      <w:szCs w:val="16"/>
    </w:rPr>
  </w:style>
  <w:style w:type="paragraph" w:styleId="af1">
    <w:name w:val="annotation text"/>
    <w:basedOn w:val="a"/>
    <w:link w:val="af2"/>
    <w:uiPriority w:val="99"/>
    <w:semiHidden/>
    <w:unhideWhenUsed/>
    <w:rsid w:val="00E816FB"/>
    <w:pPr>
      <w:spacing w:line="240" w:lineRule="auto"/>
    </w:pPr>
    <w:rPr>
      <w:sz w:val="20"/>
      <w:szCs w:val="20"/>
    </w:rPr>
  </w:style>
  <w:style w:type="character" w:customStyle="1" w:styleId="af2">
    <w:name w:val="Текст примечания Знак"/>
    <w:basedOn w:val="a0"/>
    <w:link w:val="af1"/>
    <w:uiPriority w:val="99"/>
    <w:semiHidden/>
    <w:rsid w:val="00E816FB"/>
    <w:rPr>
      <w:rFonts w:eastAsia="SimSun" w:cs="SimSun"/>
      <w:lang w:val="ru-RU" w:eastAsia="ru-RU"/>
    </w:rPr>
  </w:style>
  <w:style w:type="paragraph" w:styleId="af3">
    <w:name w:val="annotation subject"/>
    <w:basedOn w:val="af1"/>
    <w:next w:val="af1"/>
    <w:link w:val="af4"/>
    <w:uiPriority w:val="99"/>
    <w:semiHidden/>
    <w:unhideWhenUsed/>
    <w:rsid w:val="00E816FB"/>
    <w:rPr>
      <w:b/>
      <w:bCs/>
    </w:rPr>
  </w:style>
  <w:style w:type="character" w:customStyle="1" w:styleId="af4">
    <w:name w:val="Тема примечания Знак"/>
    <w:basedOn w:val="af2"/>
    <w:link w:val="af3"/>
    <w:uiPriority w:val="99"/>
    <w:semiHidden/>
    <w:rsid w:val="00E816FB"/>
    <w:rPr>
      <w:rFonts w:eastAsia="SimSun" w:cs="SimSun"/>
      <w:b/>
      <w:bCs/>
      <w:lang w:val="ru-RU" w:eastAsia="ru-RU"/>
    </w:rPr>
  </w:style>
  <w:style w:type="paragraph" w:styleId="af5">
    <w:name w:val="Balloon Text"/>
    <w:basedOn w:val="a"/>
    <w:link w:val="af6"/>
    <w:uiPriority w:val="99"/>
    <w:semiHidden/>
    <w:unhideWhenUsed/>
    <w:rsid w:val="003D6AD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D6ADA"/>
    <w:rPr>
      <w:rFonts w:ascii="Segoe UI" w:eastAsia="SimSu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6108">
      <w:bodyDiv w:val="1"/>
      <w:marLeft w:val="0"/>
      <w:marRight w:val="0"/>
      <w:marTop w:val="0"/>
      <w:marBottom w:val="0"/>
      <w:divBdr>
        <w:top w:val="none" w:sz="0" w:space="0" w:color="auto"/>
        <w:left w:val="none" w:sz="0" w:space="0" w:color="auto"/>
        <w:bottom w:val="none" w:sz="0" w:space="0" w:color="auto"/>
        <w:right w:val="none" w:sz="0" w:space="0" w:color="auto"/>
      </w:divBdr>
    </w:div>
    <w:div w:id="1314414291">
      <w:bodyDiv w:val="1"/>
      <w:marLeft w:val="0"/>
      <w:marRight w:val="0"/>
      <w:marTop w:val="0"/>
      <w:marBottom w:val="0"/>
      <w:divBdr>
        <w:top w:val="none" w:sz="0" w:space="0" w:color="auto"/>
        <w:left w:val="none" w:sz="0" w:space="0" w:color="auto"/>
        <w:bottom w:val="none" w:sz="0" w:space="0" w:color="auto"/>
        <w:right w:val="none" w:sz="0" w:space="0" w:color="auto"/>
      </w:divBdr>
      <w:divsChild>
        <w:div w:id="9154792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6750/2524-2555.74.3-10" TargetMode="External"/><Relationship Id="rId13" Type="http://schemas.openxmlformats.org/officeDocument/2006/relationships/hyperlink" Target="https://doi.org/10.32347/2707-501x.2024.53(1)" TargetMode="External"/><Relationship Id="rId18" Type="http://schemas.openxmlformats.org/officeDocument/2006/relationships/hyperlink" Target="https://repositary.knuba.edu.ua/server/api/core/bitstreams/74278b87-aa8a-4695-8667-9b1d78be4e28/conte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2347/uwt.2022.12.1302" TargetMode="External"/><Relationship Id="rId12" Type="http://schemas.openxmlformats.org/officeDocument/2006/relationships/hyperlink" Target="https://doi.org/10.32347/2076-815x.2024.85" TargetMode="External"/><Relationship Id="rId17" Type="http://schemas.openxmlformats.org/officeDocument/2006/relationships/hyperlink" Target="https://drive.google.com/file/d/1wTI3H3JgKMF6tug3_S9Dwjl1vrwFedCJ/view" TargetMode="External"/><Relationship Id="rId2" Type="http://schemas.openxmlformats.org/officeDocument/2006/relationships/styles" Target="styles.xml"/><Relationship Id="rId16" Type="http://schemas.openxmlformats.org/officeDocument/2006/relationships/hyperlink" Target="http://dsr.univ.kie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https://www.magnanimitas.cz/%20ADALTA/140140/papers/J_13.pdf" TargetMode="External"/><Relationship Id="rId5" Type="http://schemas.openxmlformats.org/officeDocument/2006/relationships/footnotes" Target="footnotes.xml"/><Relationship Id="rId15" Type="http://schemas.openxmlformats.org/officeDocument/2006/relationships/hyperlink" Target="http://dsr.univ.kiev.ua" TargetMode="External"/><Relationship Id="rId23" Type="http://schemas.microsoft.com/office/2018/08/relationships/commentsExtensible" Target="commentsExtensible.xml"/><Relationship Id="rId10" Type="http://schemas.openxmlformats.org/officeDocument/2006/relationships/hyperlink" Target="https://doi.org/10.32347/2707-501x.2023.52(1)" TargetMode="External"/><Relationship Id="rId19" Type="http://schemas.openxmlformats.org/officeDocument/2006/relationships/hyperlink" Target="https://repositary.knuba.edu.ua/server/api/core/bitstreams/74278b87-aa8a-4695-8667-9b1d78be4e28/content" TargetMode="External"/><Relationship Id="rId4" Type="http://schemas.openxmlformats.org/officeDocument/2006/relationships/webSettings" Target="webSettings.xml"/><Relationship Id="rId9" Type="http://schemas.openxmlformats.org/officeDocument/2006/relationships/hyperlink" Target="https://doi.org/10.32782/2664-0406.2023.43.8" TargetMode="External"/><Relationship Id="rId14" Type="http://schemas.openxmlformats.org/officeDocument/2006/relationships/hyperlink" Target="https://doi.org/10.30888/2663-5712.2025-29-01-043"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1955</Words>
  <Characters>11144</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Natase</dc:creator>
  <cp:keywords/>
  <cp:lastModifiedBy>RePack by Diakov</cp:lastModifiedBy>
  <cp:revision>9</cp:revision>
  <dcterms:created xsi:type="dcterms:W3CDTF">2025-04-17T10:58:00Z</dcterms:created>
  <dcterms:modified xsi:type="dcterms:W3CDTF">2026-04-13T11:38:00Z</dcterms:modified>
</cp:coreProperties>
</file>