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1B1FD60E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CE7B094" w14:textId="6A6B14A8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будівельних технологій</w:t>
            </w:r>
          </w:p>
          <w:p w14:paraId="6F6E0816" w14:textId="5BCA38E8" w:rsidR="00CB2731" w:rsidRPr="00DC09EA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: Махиня Олександр Миколайович</w:t>
            </w:r>
          </w:p>
          <w:p w14:paraId="6B392A87" w14:textId="185B13CF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доцент</w:t>
            </w:r>
            <w:r w:rsidR="00B1040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(1,0 ставки)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Дата початку роботи в КНУБА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70D2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1999 рік</w:t>
            </w:r>
          </w:p>
          <w:p w14:paraId="0B2164AC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1B1A8D37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2F639A13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DC09EA" w14:paraId="5AEBB35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4A8474D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6C44A63" w14:textId="77777777" w:rsidR="00703B3E" w:rsidRPr="00646B0F" w:rsidRDefault="00E234C0" w:rsidP="006E2B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оформлення бібліографічного опису згідно з ДСТУ 8302:2015 (5…10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</w:t>
            </w:r>
            <w:r w:rsidR="00A42B67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14:paraId="5D9646C7" w14:textId="7DAD7832" w:rsidR="00FE66D8" w:rsidRDefault="00FE66D8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FE66D8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Махиня О., Яремко Н. (2025). СУЧАСНІ МЕТОДИ БУДІВНИЦТВА ПІДЗЕМНИХ СПОРУД ТУНЕЛЬНОГО ТИПУ ВІДКРИТИМ СПОСОБОМ. Трансфер інноваційних технологій , 9 (1). Отримано з </w:t>
            </w:r>
            <w:hyperlink r:id="rId7" w:history="1"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https://tit.knuba.edu.ua/article/view/356221</w:t>
              </w:r>
            </w:hyperlink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27F519B9" w14:textId="2CB2ACA7" w:rsidR="0080291A" w:rsidRDefault="000C4984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ТОНКАЧЕЄВ Г., РАШКІВСЬКИЙ В., МАХИНЯ О., ДУБОВИК І. (2025). Оптимізація технології формування монолітних вертикальних елементів з використанням рухомих стрічкових опалубних систем. Шляхи підвищення ефективності будівництва , 1 (56), 245–254. </w:t>
            </w:r>
            <w:hyperlink r:id="rId8" w:history="1"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https://doi.org/10.32347/2707-501x.2025.56(1).245-254</w:t>
              </w:r>
            </w:hyperlink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59DDD8F4" w14:textId="208C7540" w:rsidR="000C4984" w:rsidRDefault="000C4984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Є., &amp; Махиня, О. (2025). МОДЕЛЮВАННЯ ПРОЦЕСУ ВИГОТОВЛЕННЯ ПІДЗЕМНИХ СТІНОВИХ КОНСТРУКЦІЙ МЕТОДОМ ГРАВІТАЦІЙНОГО ВИДАВЛЮВАННЯ. Сучасні проблеми Архітектури та Містобудування, (73), 507–519. </w:t>
            </w:r>
            <w:hyperlink r:id="rId9" w:history="1"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https://doi.org/10.32347/2077-3455.2025.73.507-519</w:t>
              </w:r>
            </w:hyperlink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1F255579" w14:textId="77777777" w:rsidR="000C4984" w:rsidRPr="000C4984" w:rsidRDefault="000C4984" w:rsidP="000C4984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Liubov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Lepska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Leonid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Chebanov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Taras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Chebanov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Oleksandr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Makhynia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Maksym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Klys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Vladislav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Butenko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and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Yurii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Sobko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 2025. “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Problems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of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Using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BIM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in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Variant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Design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of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Reconstruction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Processes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in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Underground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Parts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of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Buildings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and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Structures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Using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Universal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Machines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”.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Metallurgical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and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Materials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Engineering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31 (4):655-663 (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Web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Of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Science</w:t>
            </w:r>
            <w:proofErr w:type="spellEnd"/>
            <w:r w:rsidRPr="000C498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) https://doi.org/10.63278/1491</w:t>
            </w:r>
          </w:p>
          <w:p w14:paraId="20D4DE34" w14:textId="477CD3CA" w:rsidR="000C4984" w:rsidRDefault="000C4984" w:rsidP="000C4984">
            <w:pPr>
              <w:pStyle w:val="10"/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10" w:history="1"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https://metall-mater-eng.com/index.php/home/artic</w:t>
              </w:r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l</w:t>
              </w:r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e/view/1491/841</w:t>
              </w:r>
            </w:hyperlink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536A1E6D" w14:textId="101F4760" w:rsidR="009F2D5D" w:rsidRDefault="009F2D5D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9F2D5D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9F2D5D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Є. О., &amp; Махиня, О. М. (2025). ДОСЛІДЖЕННЯ ФАКТОРІВ ВПЛИВУ НА ТЕХНОЛОГІЮ ЗВЕДЕННЯ ПІДЗЕМНИХ КОНСТРУКЦІЙ </w:t>
            </w:r>
            <w:r w:rsidRPr="009F2D5D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lastRenderedPageBreak/>
              <w:t xml:space="preserve">МЕТОДОМ ГРАВІТАЦІЙНОГО ВИДАВЛЮВАННЯ. Таврійський науковий вісник. Серія: Технічні науки, (1), 540-550. </w:t>
            </w:r>
            <w:hyperlink r:id="rId11" w:history="1">
              <w:r w:rsidRPr="00697D33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https://doi.org/10.32782/tnv-tech.2025.1.56</w:t>
              </w:r>
            </w:hyperlink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en-US" w:bidi="hi-IN"/>
              </w:rPr>
              <w:t xml:space="preserve"> </w:t>
            </w:r>
          </w:p>
          <w:p w14:paraId="28253879" w14:textId="799B3C6D" w:rsidR="006B7855" w:rsidRDefault="006B7855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МАХИНЯ, О., &amp; ГАЛЕНКО, Є. (2024). Теоретичні дослідження монтажної ваги </w:t>
            </w:r>
            <w:proofErr w:type="spellStart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армовидавлювальних</w:t>
            </w:r>
            <w:proofErr w:type="spellEnd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конструкцій. Основи та Фундаменти / </w:t>
            </w:r>
            <w:proofErr w:type="spellStart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Bases</w:t>
            </w:r>
            <w:proofErr w:type="spellEnd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and</w:t>
            </w:r>
            <w:proofErr w:type="spellEnd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Foundations</w:t>
            </w:r>
            <w:proofErr w:type="spellEnd"/>
            <w:r w:rsidRPr="006B7855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(49), 77–85. </w:t>
            </w:r>
          </w:p>
          <w:p w14:paraId="7EDEFEC8" w14:textId="30030E29" w:rsidR="006B7855" w:rsidRPr="006B7855" w:rsidRDefault="00D44BE1" w:rsidP="006B7855">
            <w:pPr>
              <w:pStyle w:val="10"/>
              <w:spacing w:after="0"/>
              <w:ind w:left="414"/>
              <w:jc w:val="both"/>
              <w:rPr>
                <w:rStyle w:val="a3"/>
                <w:rFonts w:ascii="Noto Sans" w:hAnsi="Noto Sans" w:cs="Noto Sans"/>
                <w:color w:val="009DE5"/>
                <w:sz w:val="21"/>
                <w:szCs w:val="21"/>
                <w:shd w:val="clear" w:color="auto" w:fill="FFFFFF"/>
              </w:rPr>
            </w:pPr>
            <w:hyperlink r:id="rId12" w:history="1">
              <w:r w:rsidR="006B7855" w:rsidRPr="006B785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https://doi.org/10.32347/0475-1132.49.2024.77-85</w:t>
              </w:r>
            </w:hyperlink>
            <w:r w:rsidR="006B7855" w:rsidRPr="006B7855">
              <w:rPr>
                <w:rStyle w:val="a3"/>
                <w:rFonts w:ascii="Noto Sans" w:hAnsi="Noto Sans" w:cs="Noto Sans"/>
                <w:color w:val="009DE5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9D870A5" w14:textId="5282CC28" w:rsidR="002E70D2" w:rsidRDefault="002E70D2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9067B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9067B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Є.О., Махиня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Pr="009067B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О.М. Класифікація ковзних опалубних систем.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Pr="009067B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Шляхи  підвищення  ефективності  будівництва  в  умовах  формування  ринкових відносин. 2023. </w:t>
            </w:r>
            <w:proofErr w:type="spellStart"/>
            <w:r w:rsidRPr="009067B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No</w:t>
            </w:r>
            <w:proofErr w:type="spellEnd"/>
            <w:r w:rsidRPr="009067B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52(1). С. 157-170.</w:t>
            </w:r>
          </w:p>
          <w:p w14:paraId="3F663253" w14:textId="77777777" w:rsidR="002E70D2" w:rsidRPr="00AB1775" w:rsidRDefault="00D44BE1" w:rsidP="002E70D2">
            <w:pPr>
              <w:pStyle w:val="10"/>
              <w:spacing w:after="0"/>
              <w:ind w:left="414"/>
              <w:jc w:val="both"/>
              <w:rPr>
                <w:rStyle w:val="a3"/>
                <w:rFonts w:ascii="Noto Sans" w:hAnsi="Noto Sans" w:cs="Noto Sans"/>
                <w:color w:val="009DE5"/>
                <w:sz w:val="21"/>
                <w:szCs w:val="21"/>
                <w:shd w:val="clear" w:color="auto" w:fill="FFFFFF"/>
                <w:lang w:val="uk-UA"/>
              </w:rPr>
            </w:pPr>
            <w:hyperlink r:id="rId13" w:history="1"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http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ways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knuba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edu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ua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article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view</w:t>
              </w:r>
              <w:r w:rsidR="002E70D2" w:rsidRPr="00AB1775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  <w:lang w:val="uk-UA"/>
                </w:rPr>
                <w:t>/297567/290476</w:t>
              </w:r>
            </w:hyperlink>
            <w:r w:rsidR="002E70D2" w:rsidRPr="00AB1775">
              <w:rPr>
                <w:rStyle w:val="a3"/>
                <w:rFonts w:ascii="Noto Sans" w:hAnsi="Noto Sans" w:cs="Noto Sans"/>
                <w:color w:val="009DE5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  <w:p w14:paraId="4EA55F76" w14:textId="77777777" w:rsidR="002E70D2" w:rsidRDefault="002E70D2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Махиня О. М., Яремко Н. Я. Вплив параметрів землерийних машин на конструктивні рішення </w:t>
            </w:r>
            <w:proofErr w:type="spellStart"/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бареттних</w:t>
            </w:r>
            <w:proofErr w:type="spellEnd"/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фундаментів. Просторовий розвиток.//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Збірник наук. праць, №3 (2023). К - 2023 р, </w:t>
            </w:r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с. 74 - 89.</w:t>
            </w:r>
          </w:p>
          <w:p w14:paraId="394C0C62" w14:textId="77777777" w:rsidR="002E70D2" w:rsidRPr="00F80100" w:rsidRDefault="00D44BE1" w:rsidP="002E70D2">
            <w:pPr>
              <w:pStyle w:val="10"/>
              <w:spacing w:after="0"/>
              <w:ind w:left="414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14" w:history="1">
              <w:r w:rsidR="002E70D2">
                <w:rPr>
                  <w:rStyle w:val="a3"/>
                  <w:rFonts w:ascii="Noto Sans" w:hAnsi="Noto Sans" w:cs="Noto Sans"/>
                  <w:color w:val="009DE5"/>
                  <w:sz w:val="21"/>
                  <w:szCs w:val="21"/>
                  <w:shd w:val="clear" w:color="auto" w:fill="FFFFFF"/>
                </w:rPr>
                <w:t>https://doi.org/10.32347/2786-7269.2023.3.74-89</w:t>
              </w:r>
            </w:hyperlink>
          </w:p>
          <w:p w14:paraId="3583CF43" w14:textId="77777777" w:rsidR="002E70D2" w:rsidRDefault="002E70D2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Махиня О. М. </w:t>
            </w:r>
            <w:proofErr w:type="spellStart"/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О. Є. Палі-колони при зведенні будівель методом «вверх-вниз» (TOP-DOWN). Шляхи підвищення ефективності будівництва в умовах формування ринкових відносин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..//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Збірник наук. праць, №51 частина 1 (2023). К - 2023 р, </w:t>
            </w:r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с. 7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8</w:t>
            </w:r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–</w:t>
            </w:r>
            <w:r w:rsidRPr="00F8010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92 </w:t>
            </w:r>
          </w:p>
          <w:p w14:paraId="1CB31801" w14:textId="77777777" w:rsidR="002E70D2" w:rsidRPr="006419F4" w:rsidRDefault="00D44BE1" w:rsidP="002E70D2">
            <w:pPr>
              <w:pStyle w:val="10"/>
              <w:spacing w:after="0"/>
              <w:ind w:left="414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15" w:history="1">
              <w:r w:rsidR="002E70D2">
                <w:rPr>
                  <w:rStyle w:val="a3"/>
                  <w:rFonts w:ascii="Open Sans" w:hAnsi="Open Sans" w:cs="Open Sans"/>
                  <w:color w:val="009DE5"/>
                  <w:sz w:val="21"/>
                  <w:szCs w:val="21"/>
                  <w:shd w:val="clear" w:color="auto" w:fill="FFFFFF"/>
                </w:rPr>
                <w:t>https://doi.org/10.32347/2707-501x.2023.51(1).259-270</w:t>
              </w:r>
            </w:hyperlink>
          </w:p>
          <w:p w14:paraId="1DACAFF6" w14:textId="77777777" w:rsidR="002E70D2" w:rsidRPr="00FD56E5" w:rsidRDefault="002E70D2" w:rsidP="002E70D2"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О. Махиня, І. Глущенко, В. Басараб. Основи формування чисельного складу комплексної бригади мулярів-монтажників. Будівельні конструкції. Теорія і практика//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Збірник наук. праць, №11 (2022). К - 2022 р, с. 115 - 124.</w:t>
            </w:r>
          </w:p>
          <w:p w14:paraId="07BC3937" w14:textId="631E907F" w:rsidR="00A071E1" w:rsidRPr="00636237" w:rsidRDefault="00D44BE1" w:rsidP="00636237">
            <w:pPr>
              <w:pStyle w:val="10"/>
              <w:spacing w:after="0"/>
              <w:ind w:left="414"/>
              <w:jc w:val="both"/>
              <w:rPr>
                <w:rStyle w:val="rvts82"/>
                <w:rFonts w:ascii="Open Sans" w:hAnsi="Open Sans" w:cs="Open Sans"/>
                <w:color w:val="009DE5"/>
                <w:sz w:val="21"/>
                <w:szCs w:val="21"/>
                <w:u w:val="single"/>
                <w:shd w:val="clear" w:color="auto" w:fill="FFFFFF"/>
              </w:rPr>
            </w:pPr>
            <w:hyperlink r:id="rId16" w:history="1">
              <w:r w:rsidR="002E70D2" w:rsidRPr="00696E06">
                <w:rPr>
                  <w:rStyle w:val="a3"/>
                  <w:rFonts w:ascii="Open Sans" w:hAnsi="Open Sans" w:cs="Open Sans"/>
                  <w:color w:val="009DE5"/>
                  <w:sz w:val="21"/>
                  <w:szCs w:val="21"/>
                  <w:shd w:val="clear" w:color="auto" w:fill="FFFFFF"/>
                </w:rPr>
                <w:t>https://doi.org/10.32347/2522-4182.11.2022.115-124</w:t>
              </w:r>
            </w:hyperlink>
            <w:r w:rsidR="002E70D2" w:rsidRPr="00696E06">
              <w:rPr>
                <w:rStyle w:val="a3"/>
                <w:rFonts w:ascii="Open Sans" w:hAnsi="Open Sans" w:cs="Open Sans"/>
                <w:color w:val="009DE5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703B3E" w:rsidRPr="00DC09EA" w14:paraId="14FDEF3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F4C11E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458C4EE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1C87C6C3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E0FAB0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DC09EA" w14:paraId="14FB4DB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CCF743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(обсягом не менше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DAB1EC6" w14:textId="77777777" w:rsidR="00101B58" w:rsidRPr="00646B0F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lastRenderedPageBreak/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26751538" w14:textId="20FB2A61" w:rsidR="005E2169" w:rsidRPr="00927CC6" w:rsidRDefault="005E2169" w:rsidP="005E2169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lastRenderedPageBreak/>
              <w:t xml:space="preserve">Technologies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for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engineering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protection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of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territories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from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dangerous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geological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factors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: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texbook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for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Master`s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level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applicants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in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192 "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Сonstruction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and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Civil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Engineering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/ V. I. 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Ternovyi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, I. M. 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Umanrts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, V. A. 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Basarab</w:t>
            </w:r>
            <w:proofErr w:type="spellEnd"/>
            <w:r w:rsidR="00242E91" w:rsidRP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="00242E91" w:rsidRP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Makhinya</w:t>
            </w:r>
            <w:proofErr w:type="spellEnd"/>
            <w:r w:rsidR="00242E91" w:rsidRP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O.M., </w:t>
            </w:r>
            <w:proofErr w:type="spellStart"/>
            <w:r w:rsidR="00242E91" w:rsidRP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Vitruk</w:t>
            </w:r>
            <w:proofErr w:type="spellEnd"/>
            <w:r w:rsidR="00242E91" w:rsidRP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O.Y.</w:t>
            </w:r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 —</w:t>
            </w:r>
            <w:r w:rsid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Kyiv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 : KNUCA, 2024. — 150, [1] p.: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il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 — Вид.</w:t>
            </w:r>
            <w:r w:rsidR="00242E91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en-US" w:bidi="hi-IN"/>
              </w:rPr>
              <w:t xml:space="preserve"> </w:t>
            </w:r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№26/1-24. — </w:t>
            </w:r>
            <w:proofErr w:type="spellStart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Bibliogr</w:t>
            </w:r>
            <w:proofErr w:type="spellEnd"/>
            <w:r w:rsidRPr="005E2169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 : p. 140-143.</w:t>
            </w:r>
            <w:r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en-US" w:bidi="hi-IN"/>
              </w:rPr>
              <w:t xml:space="preserve"> </w:t>
            </w:r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(Ум. друк. </w:t>
            </w:r>
            <w:proofErr w:type="spellStart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арк</w:t>
            </w:r>
            <w:proofErr w:type="spellEnd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. </w:t>
            </w:r>
            <w:r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en-US" w:bidi="hi-IN"/>
              </w:rPr>
              <w:t>8</w:t>
            </w:r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,</w:t>
            </w:r>
            <w:r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en-US" w:bidi="hi-IN"/>
              </w:rPr>
              <w:t>83</w:t>
            </w:r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.)</w:t>
            </w:r>
            <w:r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="004911FD" w:rsidRPr="004911FD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ISBN 978-966-627-268-6</w:t>
            </w:r>
          </w:p>
          <w:p w14:paraId="1209D407" w14:textId="4A805041" w:rsidR="00927CC6" w:rsidRPr="00242E91" w:rsidRDefault="00242E91" w:rsidP="00242E91">
            <w:pPr>
              <w:pStyle w:val="aa"/>
              <w:spacing w:after="0" w:line="240" w:lineRule="auto"/>
              <w:ind w:left="360"/>
              <w:jc w:val="both"/>
              <w:rPr>
                <w:rStyle w:val="a3"/>
                <w:rFonts w:ascii="Open Sans" w:hAnsi="Open Sans" w:cs="Open Sans"/>
                <w:color w:val="009DE5"/>
                <w:sz w:val="21"/>
                <w:szCs w:val="21"/>
                <w:shd w:val="clear" w:color="auto" w:fill="FFFFFF"/>
              </w:rPr>
            </w:pPr>
            <w:r w:rsidRPr="00242E91">
              <w:rPr>
                <w:rStyle w:val="a3"/>
                <w:rFonts w:ascii="Open Sans" w:hAnsi="Open Sans" w:cs="Open Sans"/>
                <w:color w:val="009DE5"/>
                <w:sz w:val="21"/>
                <w:szCs w:val="21"/>
                <w:shd w:val="clear" w:color="auto" w:fill="FFFFFF"/>
              </w:rPr>
              <w:t>https://elib.knuba.edu.ua/library/DocumentDescription?docid=KvKNUBA.1811575</w:t>
            </w:r>
          </w:p>
          <w:p w14:paraId="352EB57F" w14:textId="4510FF7B" w:rsidR="00927CC6" w:rsidRPr="00927CC6" w:rsidRDefault="00927CC6" w:rsidP="00927CC6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Технології інженерного захисту територій від небезпечних геологічних чинників : </w:t>
            </w:r>
            <w:proofErr w:type="spellStart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навч</w:t>
            </w:r>
            <w:proofErr w:type="spellEnd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. </w:t>
            </w:r>
            <w:proofErr w:type="spellStart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посіб</w:t>
            </w:r>
            <w:proofErr w:type="spellEnd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. / В. І. Терновий, І.М. Уманець, В.А. Басараб, О.М. </w:t>
            </w:r>
            <w:r w:rsidR="00EF17E7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М</w:t>
            </w:r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ахиня– Київ : КНУБА, 2023. – 124 с. (Вид. № 26/I-23, Ум. друк. </w:t>
            </w:r>
            <w:proofErr w:type="spellStart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арк</w:t>
            </w:r>
            <w:proofErr w:type="spellEnd"/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 7,0.)</w:t>
            </w:r>
            <w:r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Pr="00927CC6">
              <w:rPr>
                <w:rFonts w:ascii="Times New Roman" w:eastAsia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ISBN 978-966-627-250-1 </w:t>
            </w:r>
            <w:r w:rsidRPr="00927CC6">
              <w:rPr>
                <w:color w:val="000000"/>
                <w:sz w:val="27"/>
                <w:szCs w:val="27"/>
                <w:shd w:val="clear" w:color="auto" w:fill="FFFFFF"/>
              </w:rPr>
              <w:t xml:space="preserve">  </w:t>
            </w:r>
          </w:p>
          <w:p w14:paraId="217875A7" w14:textId="1216EBB2" w:rsidR="005513CB" w:rsidRPr="00927CC6" w:rsidRDefault="00D44BE1" w:rsidP="00927CC6">
            <w:pPr>
              <w:pStyle w:val="1"/>
              <w:ind w:left="397" w:right="0" w:firstLine="0"/>
              <w:jc w:val="both"/>
              <w:rPr>
                <w:rStyle w:val="a3"/>
                <w:rFonts w:ascii="Open Sans" w:hAnsi="Open Sans" w:cs="Open Sans"/>
                <w:color w:val="009DE5"/>
                <w:sz w:val="21"/>
                <w:szCs w:val="21"/>
                <w:shd w:val="clear" w:color="auto" w:fill="FFFFFF"/>
                <w:lang w:val="ru-RU"/>
              </w:rPr>
            </w:pPr>
            <w:hyperlink r:id="rId17" w:history="1">
              <w:r w:rsidR="00927CC6" w:rsidRPr="00927CC6">
                <w:rPr>
                  <w:rStyle w:val="a3"/>
                  <w:rFonts w:ascii="Open Sans" w:hAnsi="Open Sans" w:cs="Open Sans"/>
                  <w:color w:val="009DE5"/>
                  <w:sz w:val="21"/>
                  <w:szCs w:val="21"/>
                  <w:shd w:val="clear" w:color="auto" w:fill="FFFFFF"/>
                  <w:lang w:val="ru-RU"/>
                </w:rPr>
                <w:t>http://192.168.255.230/books/26_1_23.pdf</w:t>
              </w:r>
            </w:hyperlink>
          </w:p>
          <w:p w14:paraId="25464CC1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0DB3F48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7E1823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C0EC4A1" w14:textId="5E1CEB53" w:rsidR="00703B3E" w:rsidRPr="00E50CEC" w:rsidRDefault="00BB1785" w:rsidP="00066242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3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10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B14B66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праці</w:t>
            </w:r>
          </w:p>
          <w:p w14:paraId="1485F3B1" w14:textId="41E452C5" w:rsidR="00F2385C" w:rsidRDefault="00F2385C" w:rsidP="000E411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Технологія будівництва [Текст] : мет.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вказ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до виконання курс. роботи з освітньої компоненти : для здобувачів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вищ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освіти на першому (бакалаврському) рівні за спец. 191 "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Арх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-ра та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містобуд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." /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О.М.Махиня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І.М.Уманець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; Київ.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нац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ун-т буд-ва і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архіт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— Київ : КНУБА, 2021. — 54 с. — (каф. будівельних технологій). — Вид.31/3-21.</w:t>
            </w:r>
          </w:p>
          <w:p w14:paraId="6F481C11" w14:textId="63CFC2CD" w:rsidR="00F2385C" w:rsidRDefault="00F2385C" w:rsidP="000E411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Навчальна (будівельна) практика : методичні вказівки до навчальної (будівельної) практики для здобувачів першого (бакалаврського) рівня вищої освіти за спеціальністю 191 «Архітектура та містобудування» / Київ.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нац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ун-т буд-ва і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архіт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; укладачі : О. М. Махиня, І. М. Уманець, І. В. Глущенко. – Київ : КНУБА, 2025. – 20 с. - </w:t>
            </w:r>
            <w:proofErr w:type="spellStart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Бібліогр</w:t>
            </w:r>
            <w:proofErr w:type="spellEnd"/>
            <w:r w:rsidRPr="00F2385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: с. 12.</w:t>
            </w:r>
          </w:p>
          <w:p w14:paraId="1FB9C31A" w14:textId="562996AB" w:rsidR="000E4115" w:rsidRPr="00066242" w:rsidRDefault="00FB721F" w:rsidP="000E4115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B721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ОК 26 Технологія будівельних процесів</w:t>
            </w:r>
            <w:r w:rsidR="000E4115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 Робоча програма з  освітньої компоненти для здобувачів вищої освіти на першому (бакалаврському) рівні за спеціальністю 19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="000E4115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"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Будівництво та цивільна інженерія ПЦБ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E4115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"//Укладач Махиня О. М. - К.: КНУБА -202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="000E4115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- 1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9</w:t>
            </w:r>
            <w:r w:rsidR="000E4115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с.</w:t>
            </w:r>
          </w:p>
          <w:p w14:paraId="3F51505D" w14:textId="5D2AB7B5" w:rsidR="00066242" w:rsidRPr="00066242" w:rsidRDefault="00066242" w:rsidP="00066242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Технологія будівництва.  Робоча програма з  освітньої компоненти для здобувачів вищої освіти на першому (бакалаврському) рівні за спеціальністю 191 "Архітектура і містобудування"//Укладач Махиня О. М. - К.: КНУБА -202</w:t>
            </w:r>
            <w:r w:rsidR="009875E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4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- 17 с.</w:t>
            </w:r>
          </w:p>
          <w:p w14:paraId="2D84E05F" w14:textId="5C14A0E4" w:rsidR="00066242" w:rsidRDefault="00066242" w:rsidP="00066242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Виробнича практика.  Робоча програма з  освітньої компоненти для здобувачів вищої освіти на першому (бакалаврському) рівні за спеціальністю 191 "Архітектура і містобудування"//Укладач Махиня О. М. - К.: КНУБА -202</w:t>
            </w:r>
            <w:r w:rsidR="009875E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4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- 10 с.</w:t>
            </w:r>
          </w:p>
          <w:p w14:paraId="29CCF15C" w14:textId="014996C9" w:rsidR="00FB721F" w:rsidRDefault="00FB721F" w:rsidP="006B1C9D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FB721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ОК 26 Технологія будівельних процесів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освітньої компоненти для здобувачів вищої освіти на першому (бакалаврському) рівні за спеціальністю 19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"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Будівництво та цивільна інженерія ПЦБ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"//Укладач Махиня О. М. - К.: КНУБА -202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с.</w:t>
            </w:r>
          </w:p>
          <w:p w14:paraId="5CC0E6A9" w14:textId="255ADC94" w:rsidR="006B1C9D" w:rsidRDefault="006B1C9D" w:rsidP="006B1C9D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Влаштування гідроізоляційних систем (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ВК11 (ВК12 </w:t>
            </w:r>
            <w:proofErr w:type="spellStart"/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скор</w:t>
            </w:r>
            <w:proofErr w:type="spellEnd"/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 </w:t>
            </w:r>
            <w:proofErr w:type="spellStart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вибіркової 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освітньої компоненти для здобувачів вищої освіти на першому (бакалаврському) рівні за спеціальністю 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G19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"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Будівництво та цивільна інженерія ПЦБ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"//Укладач Махиня О. М. - К.: КНУБА -202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с.</w:t>
            </w:r>
          </w:p>
          <w:p w14:paraId="1A1349A3" w14:textId="58B035CC" w:rsidR="006B1C9D" w:rsidRDefault="006B1C9D" w:rsidP="006B1C9D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Сучасні методи опорядження будівель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ВК1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(ВК1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скор</w:t>
            </w:r>
            <w:proofErr w:type="spellEnd"/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 </w:t>
            </w:r>
            <w:proofErr w:type="spellStart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вибіркової 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освітньої компоненти для здобувачів вищої освіти на першому (бакалаврському) рівні за спеціальністю 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G19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"</w:t>
            </w:r>
            <w:r>
              <w:t xml:space="preserve"> 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Будівництво та цивільна інженерія ПЦБ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"//Укладач Махиня О. М. - К.: КНУБА -202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с.</w:t>
            </w:r>
          </w:p>
          <w:p w14:paraId="31AF884D" w14:textId="55FE52B6" w:rsidR="006B1C9D" w:rsidRDefault="00E12A00" w:rsidP="006B1C9D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12A0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Технології підземного будівництва</w:t>
            </w:r>
            <w:r w:rsidRPr="00E12A0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</w:t>
            </w:r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ВК1</w:t>
            </w:r>
            <w:r w:rsid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</w:t>
            </w:r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(ВК1</w:t>
            </w:r>
            <w:r w:rsid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скор</w:t>
            </w:r>
            <w:proofErr w:type="spellEnd"/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 </w:t>
            </w:r>
            <w:proofErr w:type="spellStart"/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</w:t>
            </w:r>
            <w:r w:rsid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вибіркової </w:t>
            </w:r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освітньої компоненти для здобувачів вищої освіти на першому (бакалаврському) рівні за спеціальністю </w:t>
            </w:r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G19</w:t>
            </w:r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"</w:t>
            </w:r>
            <w:r w:rsidR="006B1C9D">
              <w:t xml:space="preserve"> </w:t>
            </w:r>
            <w:r w:rsidR="006B1C9D"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Будівництво та цивільна інженерія ПЦБ</w:t>
            </w:r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"//Укладач Махиня О. М. - К.: КНУБА -202</w:t>
            </w:r>
            <w:r w:rsid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</w:t>
            </w:r>
            <w:r w:rsid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="006B1C9D"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с.</w:t>
            </w:r>
          </w:p>
          <w:p w14:paraId="65E447A7" w14:textId="0DE7253C" w:rsidR="00E12A00" w:rsidRDefault="00E12A00" w:rsidP="00E12A00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12A0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Технологія виконання реставраційних робіт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 </w:t>
            </w:r>
            <w:proofErr w:type="spellStart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вибіркової 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освітньої компоненти для здобувачів вищої освіти на першому (бакалаврському) рівні за спеціальністю 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G19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"</w:t>
            </w:r>
            <w:r>
              <w:t xml:space="preserve"> </w:t>
            </w:r>
            <w:r w:rsidRPr="006B1C9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Будівництво та цивільна інженерія ПЦБ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"//Укладач Махиня О. М. - К.: КНУБА -202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с.</w:t>
            </w:r>
          </w:p>
          <w:p w14:paraId="62F05EC9" w14:textId="27A808A5" w:rsidR="00066242" w:rsidRDefault="00066242" w:rsidP="00066242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Технологія будівництва.  </w:t>
            </w:r>
            <w:proofErr w:type="spellStart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 освітньої компоненти для здобувачів вищої освіти на першому (бакалаврському) рівні за спеціальністю 191 "Архітектура і містобудування"//Укладач Махиня О. М. - К.: КНУБА -202</w:t>
            </w:r>
            <w:r w:rsidR="009875E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4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- 4 с.</w:t>
            </w:r>
          </w:p>
          <w:p w14:paraId="319DCC50" w14:textId="2138D505" w:rsidR="009875EE" w:rsidRPr="00967C5F" w:rsidRDefault="00066242" w:rsidP="00967C5F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Виробнича практика.  </w:t>
            </w:r>
            <w:proofErr w:type="spellStart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Силабус</w:t>
            </w:r>
            <w:proofErr w:type="spellEnd"/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 освітньої компоненти для здобувачів вищої освіти на першому (бакалаврському) рівні за спеціальністю 191 "Архітектура і містобудування"//Укладач Махиня О. М. - К.: КНУБА -202</w:t>
            </w:r>
            <w:r w:rsidR="009875E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4</w:t>
            </w:r>
            <w:r w:rsidRPr="0006624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- 4 с.</w:t>
            </w:r>
          </w:p>
        </w:tc>
      </w:tr>
      <w:tr w:rsidR="00703B3E" w:rsidRPr="00DC09EA" w14:paraId="412B106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BB996B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9D8E8D7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01695694" w14:textId="12FCF133" w:rsidR="00672A36" w:rsidRPr="00672A36" w:rsidRDefault="00D472DD" w:rsidP="00D472DD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Диплом кандидата технічних наук </w:t>
            </w:r>
            <w:r w:rsidRPr="00D472DD">
              <w:rPr>
                <w:rFonts w:ascii="Times New Roman" w:eastAsia="Times New Roman" w:hAnsi="Times New Roman" w:cs="Times New Roman"/>
              </w:rPr>
              <w:t>ДК №027120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спеціальність </w:t>
            </w:r>
            <w:r w:rsidRPr="00D472DD">
              <w:rPr>
                <w:rFonts w:ascii="Times New Roman" w:eastAsia="Times New Roman" w:hAnsi="Times New Roman" w:cs="Times New Roman"/>
              </w:rPr>
              <w:t xml:space="preserve">05.23.08 -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Технологія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організація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будівництва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тема роботи </w:t>
            </w:r>
            <w:r w:rsidRPr="00D472D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Підвищення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lastRenderedPageBreak/>
              <w:t>ефективності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методу «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стіна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ґрунті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» з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використанням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імпульсного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2DD">
              <w:rPr>
                <w:rFonts w:ascii="Times New Roman" w:eastAsia="Times New Roman" w:hAnsi="Times New Roman" w:cs="Times New Roman"/>
              </w:rPr>
              <w:t>глинозмішувача</w:t>
            </w:r>
            <w:proofErr w:type="spellEnd"/>
            <w:r w:rsidRPr="00D472DD">
              <w:rPr>
                <w:rFonts w:ascii="Times New Roman" w:eastAsia="Times New Roman" w:hAnsi="Times New Roman" w:cs="Times New Roman"/>
              </w:rPr>
              <w:t>».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Виданий ВАК України від 9 лютого 2005 року</w:t>
            </w:r>
          </w:p>
        </w:tc>
      </w:tr>
      <w:tr w:rsidR="00703B3E" w:rsidRPr="00DC09EA" w14:paraId="4C89788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C2138C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18CFFAB" w14:textId="1AAB7820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</w:t>
            </w:r>
            <w:r w:rsidR="00624740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0219A33E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ПІБ здобувача: </w:t>
            </w:r>
            <w:proofErr w:type="spellStart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Галенко</w:t>
            </w:r>
            <w:proofErr w:type="spellEnd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Євгеній Олександрович</w:t>
            </w:r>
          </w:p>
          <w:p w14:paraId="2C983946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ступінь: доктор філософії</w:t>
            </w:r>
          </w:p>
          <w:p w14:paraId="66D9EB4D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Тема дисертації: Технологія гравітаційного видавлювання </w:t>
            </w:r>
            <w:proofErr w:type="spellStart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армобетонних</w:t>
            </w:r>
            <w:proofErr w:type="spellEnd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конструкцій</w:t>
            </w:r>
          </w:p>
          <w:p w14:paraId="5124D4A5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наукової спеціальності: 192</w:t>
            </w:r>
          </w:p>
          <w:p w14:paraId="0CFE9875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захисту: 12.09.2025</w:t>
            </w:r>
          </w:p>
          <w:p w14:paraId="1E2B842B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наукової спеціальності: Будівництво та цивільна інженерія</w:t>
            </w:r>
          </w:p>
          <w:p w14:paraId="067A19ED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документа: Н25</w:t>
            </w:r>
          </w:p>
          <w:p w14:paraId="15414456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Номер документа: 003587</w:t>
            </w:r>
          </w:p>
          <w:p w14:paraId="03E7434E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видачі документа: 29.09.2025</w:t>
            </w:r>
          </w:p>
          <w:p w14:paraId="5A0DB351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Шифр спеціалізованої вченої ради: </w:t>
            </w:r>
            <w:proofErr w:type="spellStart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PhD</w:t>
            </w:r>
            <w:proofErr w:type="spellEnd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10573</w:t>
            </w:r>
          </w:p>
          <w:p w14:paraId="5AA51C2A" w14:textId="77777777" w:rsidR="00682195" w:rsidRPr="00682195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Заклад, в якому відбувся захист: Київський національний університет будівництва і архітектури</w:t>
            </w:r>
          </w:p>
          <w:p w14:paraId="69390BE0" w14:textId="0B366D20" w:rsidR="00D63B0B" w:rsidRPr="00537F77" w:rsidRDefault="00682195" w:rsidP="00682195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Реєстраційний номер </w:t>
            </w:r>
            <w:proofErr w:type="spellStart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УкрІНТЕІ</w:t>
            </w:r>
            <w:proofErr w:type="spellEnd"/>
            <w:r w:rsidRPr="00682195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 0825U003536</w:t>
            </w:r>
          </w:p>
        </w:tc>
      </w:tr>
      <w:tr w:rsidR="00703B3E" w:rsidRPr="00DC09EA" w14:paraId="451C1D6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0E198F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19F866B" w14:textId="77777777" w:rsidR="00703B3E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  <w:p w14:paraId="29517673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Роль: Рецензент</w:t>
            </w:r>
          </w:p>
          <w:p w14:paraId="3539E3A8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ПІБ здобувача: Носач Катерина Валеріївна</w:t>
            </w:r>
          </w:p>
          <w:p w14:paraId="08DF819F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ступінь: доктор філософії</w:t>
            </w:r>
          </w:p>
          <w:p w14:paraId="017C5F39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Тема дисертації: Технологія улаштування стовпчастих фундаментів каркасних будівель з монтажем колон для формування монолітних стаканів</w:t>
            </w:r>
          </w:p>
          <w:p w14:paraId="1B5DB280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наукової спеціальності: 192</w:t>
            </w:r>
          </w:p>
          <w:p w14:paraId="74959318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захисту: 05.02.2026</w:t>
            </w:r>
          </w:p>
          <w:p w14:paraId="2938E6B6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наукової спеціальності: Будівництво та цивільна інженерія</w:t>
            </w:r>
          </w:p>
          <w:p w14:paraId="06F78E0A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Шифр спеціалізованої вченої ради: </w:t>
            </w:r>
            <w:proofErr w:type="spellStart"/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PhD</w:t>
            </w:r>
            <w:proofErr w:type="spellEnd"/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11485</w:t>
            </w:r>
          </w:p>
          <w:p w14:paraId="6210D8C4" w14:textId="77777777" w:rsidR="00434E91" w:rsidRPr="00434E91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Заклад, в якому відбувся захист: Київський національний університет будівництва і архітектури</w:t>
            </w:r>
          </w:p>
          <w:p w14:paraId="79B58E2C" w14:textId="3B58CDD1" w:rsidR="00644D0A" w:rsidRPr="00644D0A" w:rsidRDefault="00434E91" w:rsidP="00434E9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Реєстраційний номер </w:t>
            </w:r>
            <w:proofErr w:type="spellStart"/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УкрІНТЕІ</w:t>
            </w:r>
            <w:proofErr w:type="spellEnd"/>
            <w:r w:rsidRPr="00434E9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 0825U004227</w:t>
            </w:r>
          </w:p>
        </w:tc>
      </w:tr>
      <w:tr w:rsidR="00703B3E" w:rsidRPr="00AE4CA9" w14:paraId="10DFDF0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2A0D62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FDD00B6" w14:textId="77777777" w:rsidR="00703B3E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  <w:p w14:paraId="4F4478EC" w14:textId="6ABD1874" w:rsidR="00EF17E7" w:rsidRPr="00EF17E7" w:rsidRDefault="00EF17E7" w:rsidP="00EF17E7">
            <w:pPr>
              <w:jc w:val="both"/>
              <w:rPr>
                <w:rStyle w:val="rvts82"/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  <w:lang w:val="uk-UA" w:eastAsia="uk-UA"/>
              </w:rPr>
            </w:pPr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Виконавець розділу держбюджетної теми: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алгоритму та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часу на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(ДР № </w:t>
            </w:r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</w:rPr>
              <w:t>0121</w:t>
            </w:r>
            <w:r w:rsidRPr="003575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U108931)</w:t>
            </w:r>
          </w:p>
        </w:tc>
      </w:tr>
      <w:tr w:rsidR="00703B3E" w:rsidRPr="00DC09EA" w14:paraId="2648AB5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77B316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комісій (підкомісій) з вищої або фахової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C2443C5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C09EA" w14:paraId="33B3AD9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CE1189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73EEB3F" w14:textId="77777777" w:rsidR="00703B3E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  <w:p w14:paraId="727954B6" w14:textId="44AC767A" w:rsidR="002E1B65" w:rsidRPr="002E1B65" w:rsidRDefault="002E1B6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секретар секції 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Міжнародн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ого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proofErr w:type="spellStart"/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-технічн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ого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форум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у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“Архітектура, Будівництво, Дизайн: Технологія, Енергетика, Менеджмент”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</w:tc>
      </w:tr>
      <w:tr w:rsidR="00703B3E" w:rsidRPr="00D936FA" w14:paraId="792A418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F188EF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C328522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936FA" w14:paraId="7D607E8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521435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82061C0" w14:textId="77777777" w:rsidR="00703B3E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оформлення бібліографічного опису згідно з ДСТУ 8302:2015 (5…10 публікацій, в </w:t>
            </w:r>
            <w:proofErr w:type="spellStart"/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т.ч</w:t>
            </w:r>
            <w:proofErr w:type="spellEnd"/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які стосуються освітньої компоненти (дисципліни), що викладається), обов’язково URL місцезнаходження публікації</w:t>
            </w:r>
          </w:p>
          <w:p w14:paraId="5951CA58" w14:textId="38A5AAC9" w:rsidR="00627FA4" w:rsidRPr="00FB3E31" w:rsidRDefault="00D32893" w:rsidP="00187C5B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Яремко Н. Я, Махиня О. М. Сучасні методи зведення підземних споруд тунельного типу неглибокого закладання. Програма та тези доповідей. </w:t>
            </w:r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lastRenderedPageBreak/>
              <w:t xml:space="preserve">“Архітектура та Будівництво: Відновлення України. Наука, Технологія, Практика”: Міжнародний </w:t>
            </w:r>
            <w:proofErr w:type="spellStart"/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-технічний форум 24-25 листопада 2025 р., м. Київ). – Київ: Видавництво Ліра-К, 2025.– 685 с (116 с.).</w:t>
            </w:r>
            <w:r w:rsidR="00FB3E31"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="00FB3E31">
              <w:t xml:space="preserve"> </w:t>
            </w:r>
            <w:hyperlink r:id="rId18" w:history="1">
              <w:r w:rsidR="00FB3E31" w:rsidRPr="00FB3E31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https://www.knuba.edu.ua/conference/</w:t>
              </w:r>
            </w:hyperlink>
            <w:r w:rsidR="00FB3E31"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4B7C9D21" w14:textId="3DE9E83B" w:rsidR="00187C5B" w:rsidRPr="00AB1D27" w:rsidRDefault="00187C5B" w:rsidP="00187C5B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Є. О., Махиня О. М. Дослідження факторів, що впливають на технологію влаштування </w:t>
            </w:r>
            <w:proofErr w:type="spellStart"/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армовидавлювальних</w:t>
            </w:r>
            <w:proofErr w:type="spellEnd"/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конструкцій. Програма та тези доповідей. “</w:t>
            </w:r>
            <w:r w:rsidR="00AB1D27"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Буд Майстер Клас 2024</w:t>
            </w:r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”:</w:t>
            </w:r>
            <w:r w:rsidR="00AB1D27"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Міжнародна науково-практична конференція молодих вчених</w:t>
            </w:r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(</w:t>
            </w:r>
            <w:r w:rsid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5</w:t>
            </w:r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-7 </w:t>
            </w:r>
            <w:r w:rsid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листопада</w:t>
            </w:r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2024р., м. Київ). – Київ. – 2024. -  205-206 с. (570 с.).</w:t>
            </w:r>
          </w:p>
          <w:p w14:paraId="77ABA573" w14:textId="2334199E" w:rsidR="00187C5B" w:rsidRDefault="00D44BE1" w:rsidP="00187C5B">
            <w:pPr>
              <w:pStyle w:val="10"/>
              <w:spacing w:after="0"/>
              <w:ind w:left="36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19" w:history="1">
              <w:r w:rsidR="00AB1D27" w:rsidRPr="00A706B7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https://drive.google.com/file/d/1HZWwRPe_m6gozxMhLhZg-SviUYBiFEBq/view</w:t>
              </w:r>
            </w:hyperlink>
            <w:r w:rsidR="00187C5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71FE1B9C" w14:textId="29BD3C1E" w:rsidR="00AB1D27" w:rsidRPr="00271F33" w:rsidRDefault="00AB1D27" w:rsidP="00271F33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Харчук С.</w:t>
            </w:r>
            <w:r w:rsidRPr="00AB1D2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Махиня О. М. </w:t>
            </w:r>
            <w:r w:rsidRPr="00271F33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Сучасні способи герметизації технологічних швів при зведені підземних конструкцій.</w:t>
            </w:r>
            <w:r w:rsidR="00271F33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Pr="00271F33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Програма та тези доповідей. “Буд Майстер Клас 2024”: Міжнародна науково-практична конференція молодих вчених (5-7 листопада 2024р., м. Київ). – Київ. – 2024. -  205-206 с. (570 с.).</w:t>
            </w:r>
          </w:p>
          <w:p w14:paraId="526B0378" w14:textId="1CAC8700" w:rsidR="00AB1D27" w:rsidRDefault="00D44BE1" w:rsidP="00AB1D27">
            <w:pPr>
              <w:pStyle w:val="10"/>
              <w:spacing w:after="0"/>
              <w:ind w:left="36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20" w:history="1">
              <w:r w:rsidR="00AB1D27" w:rsidRPr="00A706B7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https://drive.google.com/file/d/1HZWwRPe_m6gozxMhLhZg-SviUYBiFEBq/view</w:t>
              </w:r>
            </w:hyperlink>
          </w:p>
          <w:p w14:paraId="5A107768" w14:textId="552A4A23" w:rsidR="009B0554" w:rsidRPr="009B0554" w:rsidRDefault="009B0554" w:rsidP="009B0554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Ткачук К. Ю., Махиня О. М. 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Сучасні методи штучного заморожування ґрунтів у будівництві.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Програма та тези доповідей. “Архітектура, Будівництво, Дизайн: Технологія, Енергетика, Менеджмент”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: 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Міжнародний </w:t>
            </w:r>
            <w:proofErr w:type="spellStart"/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-технічний форум (16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-17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жовтня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202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4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р., м. Київ). 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–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Київ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.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– 202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4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. -  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554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с. 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(604</w:t>
            </w:r>
            <w:r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с.).</w:t>
            </w:r>
          </w:p>
          <w:p w14:paraId="2CF43582" w14:textId="55250D03" w:rsidR="009B0554" w:rsidRPr="009B0554" w:rsidRDefault="00D44BE1" w:rsidP="009B0554">
            <w:pPr>
              <w:pStyle w:val="10"/>
              <w:spacing w:after="0"/>
              <w:ind w:left="36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21" w:history="1">
              <w:r w:rsidR="009B0554" w:rsidRPr="00A706B7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https://drive.google.com/file/d/1TpA1Hh7c71ChP79W55YV0wPz_pUvVnWz/view</w:t>
              </w:r>
            </w:hyperlink>
            <w:r w:rsidR="009B0554" w:rsidRPr="009B0554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0A4DD821" w14:textId="2E755B19" w:rsidR="00B83903" w:rsidRPr="008E0C0B" w:rsidRDefault="00B83903" w:rsidP="008E0C0B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194C62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194C62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Є. О.,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Махиня О. М. </w:t>
            </w:r>
            <w:r w:rsidR="006B71B7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Дослідження монтажної ваги </w:t>
            </w:r>
            <w:proofErr w:type="spellStart"/>
            <w:r w:rsid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армовидавлювальної</w:t>
            </w:r>
            <w:proofErr w:type="spellEnd"/>
            <w:r w:rsid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стінової конструкції. </w:t>
            </w:r>
            <w:r w:rsidRP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Програма та тези доповідей. “Архітектура, Будівництво, Дизайн: Технологія, Енергетика, Менеджмент”: Міжнародний </w:t>
            </w:r>
            <w:proofErr w:type="spellStart"/>
            <w:r w:rsidRP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-технічний форум (16-17 жовтня 2024р., м. Київ). – Київ. – 2024. -  </w:t>
            </w:r>
            <w:r w:rsid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112-113</w:t>
            </w:r>
            <w:r w:rsidRPr="008E0C0B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с. (604 с.).</w:t>
            </w:r>
          </w:p>
          <w:p w14:paraId="58B58A63" w14:textId="02E7FBD4" w:rsidR="00B83903" w:rsidRDefault="00D44BE1" w:rsidP="008A46A0">
            <w:pPr>
              <w:pStyle w:val="10"/>
              <w:spacing w:after="0"/>
              <w:ind w:left="36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22" w:history="1">
              <w:r w:rsidR="008A46A0" w:rsidRPr="00A706B7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https://drive.google.com/file/d/1TpA1Hh7c71ChP79W55YV0wPz_pUvVnWz/view</w:t>
              </w:r>
            </w:hyperlink>
          </w:p>
          <w:p w14:paraId="4C7ED47C" w14:textId="4A13A956" w:rsidR="00FB3E31" w:rsidRPr="00FB3E31" w:rsidRDefault="00FB3E31" w:rsidP="00FB3E31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Галенко</w:t>
            </w:r>
            <w:proofErr w:type="spellEnd"/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Є. О., Махиня О. М. Сучасні ковзні опалубні системи. Програма та тези доповідей. “Архітектура, Дизайн та Будівництво: Інноваційні технології”: Міжнародний </w:t>
            </w:r>
            <w:proofErr w:type="spellStart"/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-технічний форум (15-16 листопада 2023р., м. Київ). - Київ: Видавництво Ліра-К. – 2023. - 568 с. (119 с.).</w:t>
            </w:r>
            <w:hyperlink r:id="rId23" w:history="1">
              <w:r w:rsidRPr="00FB3E31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https://www.knuba.edu.ua/conference/</w:t>
              </w:r>
            </w:hyperlink>
            <w:r w:rsidRPr="00FB3E31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32119DC2" w14:textId="36A0A8F7" w:rsidR="00E31CF8" w:rsidRDefault="00E31CF8" w:rsidP="00E31CF8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lastRenderedPageBreak/>
              <w:t>Галенко</w:t>
            </w:r>
            <w:proofErr w:type="spellEnd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Є. О., Махиня О. М. Аналіз параметрів будівель, що були зведені за технологією «вверх-вниз» (TOP- DOWN). Програма та тези доповідей. “Архітектура та Будівництво: Відновлення України. Наука, Технологія, Практика”: Міжнародний </w:t>
            </w:r>
            <w:proofErr w:type="spellStart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-технічний форум 17-18 листопада 2022 р., м. Київ). – Київ: Видавництво Ліра-К, 2022.– 480 с (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108</w:t>
            </w:r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с.).</w:t>
            </w:r>
          </w:p>
          <w:p w14:paraId="400146F3" w14:textId="573C7F76" w:rsidR="008A46A0" w:rsidRDefault="00D44BE1" w:rsidP="008A46A0">
            <w:pPr>
              <w:pStyle w:val="10"/>
              <w:spacing w:after="0"/>
              <w:ind w:left="36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24" w:history="1">
              <w:r w:rsidR="008A46A0" w:rsidRPr="00A706B7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https://drive.google.com/file/d/1TpA1Hh7c71ChP79W55YV0wPz_pUvVnWz/view</w:t>
              </w:r>
            </w:hyperlink>
            <w:r w:rsidR="008A46A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  <w:p w14:paraId="68DDF3E4" w14:textId="7A5C3F9C" w:rsidR="00E31CF8" w:rsidRDefault="00E31CF8" w:rsidP="00E31CF8">
            <w:pPr>
              <w:pStyle w:val="10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Яремко Н. Я</w:t>
            </w:r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, Махиня О. М.  Вплив розмірів робочих органів землерийних машин на конструктивні розміри </w:t>
            </w:r>
            <w:proofErr w:type="spellStart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барреттних</w:t>
            </w:r>
            <w:proofErr w:type="spellEnd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фундаментів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. </w:t>
            </w:r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Програма та тези доповідей. “Архітектура та Будівництво: Відновлення України. Наука, Технологія, Практика”: Міжнародний </w:t>
            </w:r>
            <w:proofErr w:type="spellStart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наукуво</w:t>
            </w:r>
            <w:proofErr w:type="spellEnd"/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-технічний форум 17-18 листопада 2022 р., м. Київ). – Київ: Видавництво Ліра-К, 2022.– 480 с (</w:t>
            </w:r>
            <w:r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>462</w:t>
            </w:r>
            <w:r w:rsidRPr="0036199C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с.).</w:t>
            </w:r>
          </w:p>
          <w:p w14:paraId="534AF331" w14:textId="7803EE92" w:rsidR="00E46C28" w:rsidRPr="004E5C31" w:rsidRDefault="00D44BE1" w:rsidP="004E5C31">
            <w:pPr>
              <w:pStyle w:val="10"/>
              <w:spacing w:after="0"/>
              <w:ind w:left="360"/>
              <w:jc w:val="both"/>
              <w:rPr>
                <w:rStyle w:val="rvts82"/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</w:pPr>
            <w:hyperlink r:id="rId25" w:history="1">
              <w:r w:rsidR="008A46A0" w:rsidRPr="00A706B7">
                <w:rPr>
                  <w:rStyle w:val="a3"/>
                  <w:rFonts w:ascii="Times New Roman" w:hAnsi="Times New Roman" w:cs="Droid Sans Devanagari"/>
                  <w:kern w:val="2"/>
                  <w:sz w:val="24"/>
                  <w:szCs w:val="24"/>
                  <w:lang w:val="uk-UA" w:bidi="hi-IN"/>
                </w:rPr>
                <w:t>https://drive.google.com/file/d/1TpA1Hh7c71ChP79W55YV0wPz_pUvVnWz/view</w:t>
              </w:r>
            </w:hyperlink>
            <w:r w:rsidR="008A46A0">
              <w:rPr>
                <w:rFonts w:ascii="Times New Roman" w:hAnsi="Times New Roman" w:cs="Droid Sans Devanagari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</w:tc>
      </w:tr>
      <w:tr w:rsidR="00703B3E" w:rsidRPr="00DC09EA" w14:paraId="4B0B56C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9E4130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DBB0714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2ECC840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D0C888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-творчому) рівні); керівництво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4DD7489" w14:textId="77777777" w:rsidR="00703B3E" w:rsidRPr="00DC09EA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32DF236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6F2260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2AAF0A8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0BB3113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55D7C4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E76B964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34FC6C0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FA917D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50391C7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52E27C5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2C89E6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572DF03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6FFA837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5C9C27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4BA79A2" w14:textId="77777777" w:rsidR="00703B3E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  <w:p w14:paraId="3737F374" w14:textId="49127F76" w:rsidR="00E31CF8" w:rsidRPr="00BC222E" w:rsidRDefault="00E31CF8" w:rsidP="00E31CF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Член ГО «</w:t>
            </w:r>
            <w:proofErr w:type="spellStart"/>
            <w:r w:rsidRPr="000D7A9C">
              <w:rPr>
                <w:rFonts w:ascii="Times New Roman" w:hAnsi="Times New Roman"/>
              </w:rPr>
              <w:t>Гільдія</w:t>
            </w:r>
            <w:proofErr w:type="spellEnd"/>
            <w:r w:rsidRPr="000D7A9C">
              <w:rPr>
                <w:rFonts w:ascii="Times New Roman" w:hAnsi="Times New Roman"/>
              </w:rPr>
              <w:t xml:space="preserve"> </w:t>
            </w:r>
            <w:proofErr w:type="spellStart"/>
            <w:r w:rsidRPr="000D7A9C">
              <w:rPr>
                <w:rFonts w:ascii="Times New Roman" w:hAnsi="Times New Roman"/>
              </w:rPr>
              <w:t>інженерів</w:t>
            </w:r>
            <w:proofErr w:type="spellEnd"/>
            <w:r w:rsidRPr="000D7A9C">
              <w:rPr>
                <w:rFonts w:ascii="Times New Roman" w:hAnsi="Times New Roman"/>
              </w:rPr>
              <w:t xml:space="preserve"> </w:t>
            </w:r>
            <w:proofErr w:type="spellStart"/>
            <w:r w:rsidRPr="000D7A9C">
              <w:rPr>
                <w:rFonts w:ascii="Times New Roman" w:hAnsi="Times New Roman"/>
              </w:rPr>
              <w:t>технічного</w:t>
            </w:r>
            <w:proofErr w:type="spellEnd"/>
            <w:r w:rsidRPr="000D7A9C">
              <w:rPr>
                <w:rFonts w:ascii="Times New Roman" w:hAnsi="Times New Roman"/>
              </w:rPr>
              <w:t xml:space="preserve"> </w:t>
            </w:r>
            <w:proofErr w:type="spellStart"/>
            <w:r w:rsidRPr="000D7A9C">
              <w:rPr>
                <w:rFonts w:ascii="Times New Roman" w:hAnsi="Times New Roman"/>
              </w:rPr>
              <w:t>нагляду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  <w:r w:rsidR="00BC222E">
              <w:rPr>
                <w:rFonts w:ascii="Times New Roman" w:hAnsi="Times New Roman"/>
                <w:lang w:val="uk-UA"/>
              </w:rPr>
              <w:t xml:space="preserve"> </w:t>
            </w:r>
            <w:hyperlink r:id="rId26" w:history="1">
              <w:r w:rsidR="00BC222E">
                <w:rPr>
                  <w:rStyle w:val="a3"/>
                  <w:rFonts w:ascii="Source Sans Pro" w:hAnsi="Source Sans Pro"/>
                  <w:color w:val="0056B3"/>
                  <w:u w:val="none"/>
                  <w:shd w:val="clear" w:color="auto" w:fill="FFFFFF"/>
                </w:rPr>
                <w:t>https://e-construction.gov.ua/certified_persons_detail/2405399078079825532?prof=3</w:t>
              </w:r>
            </w:hyperlink>
            <w:r w:rsidR="00BC222E">
              <w:rPr>
                <w:lang w:val="uk-UA"/>
              </w:rPr>
              <w:t xml:space="preserve"> </w:t>
            </w:r>
          </w:p>
          <w:p w14:paraId="38354DE8" w14:textId="788369A7" w:rsidR="00E31CF8" w:rsidRPr="00E31CF8" w:rsidRDefault="00E31CF8" w:rsidP="00E31CF8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AE4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півпрац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 ДП Науково-дослідним</w:t>
            </w:r>
            <w:r w:rsidRPr="00AE4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Pr="00AE4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будівельного виробництва (НДІБВ) в філії кафедри БТ</w:t>
            </w:r>
          </w:p>
        </w:tc>
      </w:tr>
      <w:tr w:rsidR="00703B3E" w:rsidRPr="00DC09EA" w14:paraId="6E95522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89333D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024C0B7" w14:textId="77777777" w:rsidR="00703B3E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  <w:p w14:paraId="6D01D564" w14:textId="1B856BF4" w:rsidR="00E31CF8" w:rsidRDefault="00E31CF8" w:rsidP="00E31CF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Судовий експерт за спеціальністю </w:t>
            </w:r>
            <w:r w:rsidRPr="002D1AAA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10.6 Дослідження об'єктів нерухомості, будівельних матеріалів, конструкцій та відповідних документів</w:t>
            </w:r>
            <w:r w:rsidR="00BC222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BC222E" w:rsidRPr="00BC222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hyperlink r:id="rId27" w:history="1">
              <w:r w:rsidR="00BC222E" w:rsidRPr="00697D33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https://rase.minjust.gov.ua/</w:t>
              </w:r>
            </w:hyperlink>
            <w:r w:rsidR="00BC222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14:paraId="4237B7DC" w14:textId="135595A2" w:rsidR="00E31CF8" w:rsidRPr="00E31CF8" w:rsidRDefault="00E31CF8" w:rsidP="00EA461C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Провідний інженер технічного нагляду</w:t>
            </w:r>
            <w:r w:rsidR="00BC222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hyperlink r:id="rId28" w:history="1">
              <w:r w:rsidR="00BC222E" w:rsidRPr="00697D33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https://e-construction.gov.ua/certified_persons_detail/2405399078079825532?prof=3</w:t>
              </w:r>
            </w:hyperlink>
            <w:r w:rsidR="00BC222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</w:tr>
    </w:tbl>
    <w:p w14:paraId="717D9D33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C6B530" w14:textId="21B4DC26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>Дата подання інформації ___</w:t>
      </w:r>
      <w:r w:rsidR="009B500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A461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B5001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A46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B5001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461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B500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8F2A72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</w:p>
    <w:p w14:paraId="6321F509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28C24B30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40CB4003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63892F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15929E9A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DB3B35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597B421C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A40E8D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відеотвори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передачі (програми) організації мовлення,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медіатвори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сценічні постановки, концертні програми (сольні та ансамблеві)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кінотвори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>, анімаційні твори, аранжування творів, рекламні твори.</w:t>
      </w:r>
    </w:p>
    <w:p w14:paraId="78CF2404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A5A3C4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868DA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2B3416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видалити і </w:t>
      </w:r>
      <w:proofErr w:type="spellStart"/>
      <w:r w:rsidR="00AE4CA9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досягнення.</w:t>
      </w:r>
    </w:p>
    <w:sectPr w:rsidR="00AE4CA9" w:rsidRPr="00172B00" w:rsidSect="0000747E">
      <w:headerReference w:type="default" r:id="rId2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7985" w14:textId="77777777" w:rsidR="00D44BE1" w:rsidRDefault="00D44BE1" w:rsidP="0065335E">
      <w:pPr>
        <w:spacing w:after="0" w:line="240" w:lineRule="auto"/>
      </w:pPr>
      <w:r>
        <w:separator/>
      </w:r>
    </w:p>
  </w:endnote>
  <w:endnote w:type="continuationSeparator" w:id="0">
    <w:p w14:paraId="5FED1DFD" w14:textId="77777777" w:rsidR="00D44BE1" w:rsidRDefault="00D44BE1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78C8" w14:textId="77777777" w:rsidR="00D44BE1" w:rsidRDefault="00D44BE1" w:rsidP="0065335E">
      <w:pPr>
        <w:spacing w:after="0" w:line="240" w:lineRule="auto"/>
      </w:pPr>
      <w:r>
        <w:separator/>
      </w:r>
    </w:p>
  </w:footnote>
  <w:footnote w:type="continuationSeparator" w:id="0">
    <w:p w14:paraId="75DE398D" w14:textId="77777777" w:rsidR="00D44BE1" w:rsidRDefault="00D44BE1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418894"/>
      <w:docPartObj>
        <w:docPartGallery w:val="Page Numbers (Top of Page)"/>
        <w:docPartUnique/>
      </w:docPartObj>
    </w:sdtPr>
    <w:sdtEndPr/>
    <w:sdtContent>
      <w:p w14:paraId="1C416A09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8DAA8C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442"/>
    <w:multiLevelType w:val="hybridMultilevel"/>
    <w:tmpl w:val="818AEC60"/>
    <w:lvl w:ilvl="0" w:tplc="0CA69502">
      <w:start w:val="1"/>
      <w:numFmt w:val="decimal"/>
      <w:lvlText w:val="%1."/>
      <w:lvlJc w:val="left"/>
      <w:pPr>
        <w:ind w:left="67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9F2"/>
    <w:multiLevelType w:val="hybridMultilevel"/>
    <w:tmpl w:val="57D613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B203FBF"/>
    <w:multiLevelType w:val="hybridMultilevel"/>
    <w:tmpl w:val="818AEC60"/>
    <w:lvl w:ilvl="0" w:tplc="0CA69502">
      <w:start w:val="1"/>
      <w:numFmt w:val="decimal"/>
      <w:lvlText w:val="%1."/>
      <w:lvlJc w:val="left"/>
      <w:pPr>
        <w:ind w:left="67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10249"/>
    <w:multiLevelType w:val="hybridMultilevel"/>
    <w:tmpl w:val="2BC81F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84CC0"/>
    <w:multiLevelType w:val="hybridMultilevel"/>
    <w:tmpl w:val="51EE9A6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747E"/>
    <w:rsid w:val="00034D90"/>
    <w:rsid w:val="000443DA"/>
    <w:rsid w:val="0005681B"/>
    <w:rsid w:val="00066242"/>
    <w:rsid w:val="000A5298"/>
    <w:rsid w:val="000C4984"/>
    <w:rsid w:val="000D1230"/>
    <w:rsid w:val="000E4115"/>
    <w:rsid w:val="00101B58"/>
    <w:rsid w:val="00124C1D"/>
    <w:rsid w:val="00150CDF"/>
    <w:rsid w:val="00172B00"/>
    <w:rsid w:val="00177598"/>
    <w:rsid w:val="00187C5B"/>
    <w:rsid w:val="001D58E4"/>
    <w:rsid w:val="001E20C0"/>
    <w:rsid w:val="00213C6C"/>
    <w:rsid w:val="00242E91"/>
    <w:rsid w:val="00243D68"/>
    <w:rsid w:val="002470DA"/>
    <w:rsid w:val="00271F33"/>
    <w:rsid w:val="002A72ED"/>
    <w:rsid w:val="002E1B65"/>
    <w:rsid w:val="002E70D2"/>
    <w:rsid w:val="003861AE"/>
    <w:rsid w:val="003F5D52"/>
    <w:rsid w:val="004262E1"/>
    <w:rsid w:val="00434E91"/>
    <w:rsid w:val="00466A5C"/>
    <w:rsid w:val="004911FD"/>
    <w:rsid w:val="004A130C"/>
    <w:rsid w:val="004E5C31"/>
    <w:rsid w:val="00537F77"/>
    <w:rsid w:val="005513CB"/>
    <w:rsid w:val="00583780"/>
    <w:rsid w:val="00595150"/>
    <w:rsid w:val="005C7699"/>
    <w:rsid w:val="005E2169"/>
    <w:rsid w:val="00616124"/>
    <w:rsid w:val="00624740"/>
    <w:rsid w:val="00627FA4"/>
    <w:rsid w:val="00636237"/>
    <w:rsid w:val="00644D0A"/>
    <w:rsid w:val="00645345"/>
    <w:rsid w:val="00646B0F"/>
    <w:rsid w:val="0065335E"/>
    <w:rsid w:val="00670A73"/>
    <w:rsid w:val="00672A36"/>
    <w:rsid w:val="00682195"/>
    <w:rsid w:val="006B1C9D"/>
    <w:rsid w:val="006B3260"/>
    <w:rsid w:val="006B71B7"/>
    <w:rsid w:val="006B7855"/>
    <w:rsid w:val="006C0F76"/>
    <w:rsid w:val="006D0E23"/>
    <w:rsid w:val="006E2B07"/>
    <w:rsid w:val="00702214"/>
    <w:rsid w:val="00703B3E"/>
    <w:rsid w:val="007043D3"/>
    <w:rsid w:val="00735606"/>
    <w:rsid w:val="0074175F"/>
    <w:rsid w:val="00776D83"/>
    <w:rsid w:val="007B3D23"/>
    <w:rsid w:val="007C4680"/>
    <w:rsid w:val="007E252D"/>
    <w:rsid w:val="007E2BC0"/>
    <w:rsid w:val="008005C0"/>
    <w:rsid w:val="0080291A"/>
    <w:rsid w:val="00816C6E"/>
    <w:rsid w:val="0081765F"/>
    <w:rsid w:val="00817ACF"/>
    <w:rsid w:val="00860BB7"/>
    <w:rsid w:val="008A46A0"/>
    <w:rsid w:val="008C5762"/>
    <w:rsid w:val="008E0C0B"/>
    <w:rsid w:val="008E46E4"/>
    <w:rsid w:val="008F2A72"/>
    <w:rsid w:val="0092340D"/>
    <w:rsid w:val="00927CC6"/>
    <w:rsid w:val="0093579B"/>
    <w:rsid w:val="00941BD6"/>
    <w:rsid w:val="00967C5F"/>
    <w:rsid w:val="00984B12"/>
    <w:rsid w:val="009875EE"/>
    <w:rsid w:val="009A4D29"/>
    <w:rsid w:val="009B0554"/>
    <w:rsid w:val="009B5001"/>
    <w:rsid w:val="009F2D5D"/>
    <w:rsid w:val="00A071E1"/>
    <w:rsid w:val="00A14A1E"/>
    <w:rsid w:val="00A4065F"/>
    <w:rsid w:val="00A42B67"/>
    <w:rsid w:val="00A50917"/>
    <w:rsid w:val="00A513DB"/>
    <w:rsid w:val="00A72648"/>
    <w:rsid w:val="00AB13C4"/>
    <w:rsid w:val="00AB1D27"/>
    <w:rsid w:val="00AE4CA9"/>
    <w:rsid w:val="00B10400"/>
    <w:rsid w:val="00B14B66"/>
    <w:rsid w:val="00B212C6"/>
    <w:rsid w:val="00B83903"/>
    <w:rsid w:val="00BA1D96"/>
    <w:rsid w:val="00BB1785"/>
    <w:rsid w:val="00BB3895"/>
    <w:rsid w:val="00BC222E"/>
    <w:rsid w:val="00BF4F55"/>
    <w:rsid w:val="00C6363F"/>
    <w:rsid w:val="00C84368"/>
    <w:rsid w:val="00CA5426"/>
    <w:rsid w:val="00CB2731"/>
    <w:rsid w:val="00CD58E1"/>
    <w:rsid w:val="00D06C79"/>
    <w:rsid w:val="00D32893"/>
    <w:rsid w:val="00D44BE1"/>
    <w:rsid w:val="00D45AF3"/>
    <w:rsid w:val="00D472DD"/>
    <w:rsid w:val="00D63B0B"/>
    <w:rsid w:val="00D871B6"/>
    <w:rsid w:val="00D936FA"/>
    <w:rsid w:val="00D97060"/>
    <w:rsid w:val="00D97111"/>
    <w:rsid w:val="00DA5F82"/>
    <w:rsid w:val="00DC09EA"/>
    <w:rsid w:val="00DC3732"/>
    <w:rsid w:val="00DC7E63"/>
    <w:rsid w:val="00DE5ADC"/>
    <w:rsid w:val="00E12A00"/>
    <w:rsid w:val="00E15846"/>
    <w:rsid w:val="00E234C0"/>
    <w:rsid w:val="00E31CF8"/>
    <w:rsid w:val="00E4188F"/>
    <w:rsid w:val="00E46C28"/>
    <w:rsid w:val="00E50CEC"/>
    <w:rsid w:val="00E82D8E"/>
    <w:rsid w:val="00EA461C"/>
    <w:rsid w:val="00EC2708"/>
    <w:rsid w:val="00ED3707"/>
    <w:rsid w:val="00EF17E7"/>
    <w:rsid w:val="00EF435D"/>
    <w:rsid w:val="00F2385C"/>
    <w:rsid w:val="00F73316"/>
    <w:rsid w:val="00F85FEE"/>
    <w:rsid w:val="00FB1E22"/>
    <w:rsid w:val="00FB3E31"/>
    <w:rsid w:val="00FB721F"/>
    <w:rsid w:val="00FC0736"/>
    <w:rsid w:val="00FC5591"/>
    <w:rsid w:val="00FD27D1"/>
    <w:rsid w:val="00FE5137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CCF88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1"/>
    <w:qFormat/>
    <w:rsid w:val="00DC09EA"/>
    <w:pPr>
      <w:ind w:left="720"/>
      <w:contextualSpacing/>
    </w:pPr>
  </w:style>
  <w:style w:type="character" w:customStyle="1" w:styleId="ListParagraphChar">
    <w:name w:val="List Paragraph Char"/>
    <w:link w:val="10"/>
    <w:locked/>
    <w:rsid w:val="002E70D2"/>
    <w:rPr>
      <w:rFonts w:eastAsia="Times New Roman"/>
    </w:rPr>
  </w:style>
  <w:style w:type="paragraph" w:customStyle="1" w:styleId="10">
    <w:name w:val="Абзац списка1"/>
    <w:basedOn w:val="a"/>
    <w:link w:val="ListParagraphChar"/>
    <w:rsid w:val="002E70D2"/>
    <w:pPr>
      <w:spacing w:after="160" w:line="252" w:lineRule="auto"/>
      <w:ind w:left="720"/>
      <w:contextualSpacing/>
    </w:pPr>
    <w:rPr>
      <w:rFonts w:eastAsia="Times New Roman" w:cs="Times New Roman"/>
    </w:rPr>
  </w:style>
  <w:style w:type="character" w:styleId="ab">
    <w:name w:val="Unresolved Mention"/>
    <w:basedOn w:val="a0"/>
    <w:uiPriority w:val="99"/>
    <w:semiHidden/>
    <w:unhideWhenUsed/>
    <w:rsid w:val="006B785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C4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47/2707-501x.2025.56(1).245-254" TargetMode="External"/><Relationship Id="rId13" Type="http://schemas.openxmlformats.org/officeDocument/2006/relationships/hyperlink" Target="http://ways.knuba.edu.ua/article/view/297567/290476" TargetMode="External"/><Relationship Id="rId18" Type="http://schemas.openxmlformats.org/officeDocument/2006/relationships/hyperlink" Target="https://www.knuba.edu.ua/conference/" TargetMode="External"/><Relationship Id="rId26" Type="http://schemas.openxmlformats.org/officeDocument/2006/relationships/hyperlink" Target="https://e-construction.gov.ua/certified_persons_detail/2405399078079825532?prof=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TpA1Hh7c71ChP79W55YV0wPz_pUvVnWz/view" TargetMode="External"/><Relationship Id="rId7" Type="http://schemas.openxmlformats.org/officeDocument/2006/relationships/hyperlink" Target="https://tit.knuba.edu.ua/article/view/356221" TargetMode="External"/><Relationship Id="rId12" Type="http://schemas.openxmlformats.org/officeDocument/2006/relationships/hyperlink" Target="https://doi.org/10.32347/0475-1132.49.2024.77-85" TargetMode="External"/><Relationship Id="rId17" Type="http://schemas.openxmlformats.org/officeDocument/2006/relationships/hyperlink" Target="http://192.168.255.230/books/26_1_23.pdf" TargetMode="External"/><Relationship Id="rId25" Type="http://schemas.openxmlformats.org/officeDocument/2006/relationships/hyperlink" Target="https://drive.google.com/file/d/1TpA1Hh7c71ChP79W55YV0wPz_pUvVnWz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347/2522-4182.11.2022.115-124" TargetMode="External"/><Relationship Id="rId20" Type="http://schemas.openxmlformats.org/officeDocument/2006/relationships/hyperlink" Target="https://drive.google.com/file/d/1HZWwRPe_m6gozxMhLhZg-SviUYBiFEBq/view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782/tnv-tech.2025.1.56" TargetMode="External"/><Relationship Id="rId24" Type="http://schemas.openxmlformats.org/officeDocument/2006/relationships/hyperlink" Target="https://drive.google.com/file/d/1TpA1Hh7c71ChP79W55YV0wPz_pUvVnWz/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2347/2707-501x.2023.51(1).259-270" TargetMode="External"/><Relationship Id="rId23" Type="http://schemas.openxmlformats.org/officeDocument/2006/relationships/hyperlink" Target="https://www.knuba.edu.ua/conference/" TargetMode="External"/><Relationship Id="rId28" Type="http://schemas.openxmlformats.org/officeDocument/2006/relationships/hyperlink" Target="https://e-construction.gov.ua/certified_persons_detail/2405399078079825532?prof=3" TargetMode="External"/><Relationship Id="rId10" Type="http://schemas.openxmlformats.org/officeDocument/2006/relationships/hyperlink" Target="https://metall-mater-eng.com/index.php/home/article/view/1491/841" TargetMode="External"/><Relationship Id="rId19" Type="http://schemas.openxmlformats.org/officeDocument/2006/relationships/hyperlink" Target="https://drive.google.com/file/d/1HZWwRPe_m6gozxMhLhZg-SviUYBiFEBq/view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347/2077-3455.2025.73.507-519" TargetMode="External"/><Relationship Id="rId14" Type="http://schemas.openxmlformats.org/officeDocument/2006/relationships/hyperlink" Target="https://doi.org/10.32347/2786-7269.2023.3.74-89" TargetMode="External"/><Relationship Id="rId22" Type="http://schemas.openxmlformats.org/officeDocument/2006/relationships/hyperlink" Target="https://drive.google.com/file/d/1TpA1Hh7c71ChP79W55YV0wPz_pUvVnWz/view" TargetMode="External"/><Relationship Id="rId27" Type="http://schemas.openxmlformats.org/officeDocument/2006/relationships/hyperlink" Target="https://rase.minjust.gov.u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14978</Words>
  <Characters>8539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Олександр Махиня</cp:lastModifiedBy>
  <cp:revision>24</cp:revision>
  <dcterms:created xsi:type="dcterms:W3CDTF">2026-04-13T11:09:00Z</dcterms:created>
  <dcterms:modified xsi:type="dcterms:W3CDTF">2026-04-13T12:58:00Z</dcterms:modified>
</cp:coreProperties>
</file>